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D7D9EB" w14:textId="084B600E" w:rsidR="000A44DE" w:rsidRPr="00ED270C" w:rsidRDefault="00BA050D" w:rsidP="008F0BCD">
      <w:pPr>
        <w:tabs>
          <w:tab w:val="center" w:pos="4536"/>
          <w:tab w:val="right" w:pos="9356"/>
          <w:tab w:val="right" w:pos="9639"/>
        </w:tabs>
        <w:spacing w:after="0"/>
        <w:rPr>
          <w:rFonts w:ascii="Arial" w:eastAsia="Arial" w:hAnsi="Arial" w:cs="Arial"/>
          <w:b/>
          <w:bCs/>
          <w:sz w:val="24"/>
          <w:szCs w:val="24"/>
        </w:rPr>
      </w:pPr>
      <w:bookmarkStart w:id="0" w:name="_GoBack"/>
      <w:bookmarkEnd w:id="0"/>
      <w:r>
        <w:rPr>
          <w:rFonts w:ascii="Arial" w:eastAsia="Arial" w:hAnsi="Arial" w:cs="Arial"/>
          <w:b/>
          <w:bCs/>
          <w:sz w:val="24"/>
          <w:szCs w:val="24"/>
        </w:rPr>
        <w:t>3GPP TSG RAN WG4</w:t>
      </w:r>
      <w:r w:rsidR="000A44DE" w:rsidRPr="00ED270C">
        <w:rPr>
          <w:rFonts w:ascii="Arial" w:eastAsia="Arial" w:hAnsi="Arial" w:cs="Arial"/>
          <w:b/>
          <w:bCs/>
          <w:sz w:val="24"/>
          <w:szCs w:val="24"/>
        </w:rPr>
        <w:t xml:space="preserve"> Meeting #</w:t>
      </w:r>
      <w:r w:rsidR="00A834F6" w:rsidRPr="004A458D">
        <w:rPr>
          <w:rFonts w:ascii="Arial" w:eastAsia="Arial" w:hAnsi="Arial" w:cs="Arial"/>
          <w:b/>
          <w:bCs/>
          <w:sz w:val="24"/>
          <w:szCs w:val="24"/>
        </w:rPr>
        <w:t>89</w:t>
      </w:r>
      <w:r w:rsidR="000A44DE" w:rsidRPr="00ED270C">
        <w:rPr>
          <w:rFonts w:ascii="Arial" w:eastAsia="Arial" w:hAnsi="Arial" w:cs="Arial"/>
          <w:b/>
          <w:bCs/>
          <w:sz w:val="24"/>
          <w:szCs w:val="24"/>
        </w:rPr>
        <w:t xml:space="preserve">               </w:t>
      </w:r>
      <w:r w:rsidR="000A44DE">
        <w:rPr>
          <w:rFonts w:ascii="Arial" w:hAnsi="Arial" w:cs="Arial"/>
          <w:b/>
          <w:bCs/>
          <w:sz w:val="24"/>
        </w:rPr>
        <w:tab/>
      </w:r>
      <w:r w:rsidR="008F0BCD" w:rsidRPr="008F0BCD">
        <w:rPr>
          <w:rFonts w:ascii="Arial" w:hAnsi="Arial" w:cs="Arial"/>
          <w:b/>
          <w:bCs/>
          <w:sz w:val="24"/>
        </w:rPr>
        <w:t>R</w:t>
      </w:r>
      <w:r>
        <w:rPr>
          <w:rFonts w:ascii="Arial" w:hAnsi="Arial" w:cs="Arial"/>
          <w:b/>
          <w:bCs/>
          <w:sz w:val="24"/>
        </w:rPr>
        <w:t>4</w:t>
      </w:r>
      <w:r w:rsidR="008F0BCD" w:rsidRPr="008F0BCD">
        <w:rPr>
          <w:rFonts w:ascii="Arial" w:hAnsi="Arial" w:cs="Arial"/>
          <w:b/>
          <w:bCs/>
          <w:sz w:val="24"/>
        </w:rPr>
        <w:t>-18</w:t>
      </w:r>
      <w:r w:rsidR="002D397A">
        <w:rPr>
          <w:rFonts w:ascii="Arial" w:hAnsi="Arial" w:cs="Arial"/>
          <w:b/>
          <w:bCs/>
          <w:sz w:val="24"/>
        </w:rPr>
        <w:t>15293</w:t>
      </w:r>
    </w:p>
    <w:p w14:paraId="2CCFBD60" w14:textId="08333336" w:rsidR="000A44DE" w:rsidRDefault="00BA050D" w:rsidP="000A44DE">
      <w:pPr>
        <w:pStyle w:val="Header"/>
        <w:rPr>
          <w:rFonts w:cs="Arial"/>
          <w:bCs/>
          <w:sz w:val="24"/>
        </w:rPr>
      </w:pPr>
      <w:r>
        <w:rPr>
          <w:rFonts w:cs="Arial"/>
          <w:bCs/>
          <w:sz w:val="24"/>
        </w:rPr>
        <w:t>Spokane</w:t>
      </w:r>
      <w:r w:rsidR="00E765C3" w:rsidRPr="00E765C3">
        <w:rPr>
          <w:rFonts w:cs="Arial"/>
          <w:bCs/>
          <w:sz w:val="24"/>
        </w:rPr>
        <w:t xml:space="preserve">, </w:t>
      </w:r>
      <w:r>
        <w:rPr>
          <w:rFonts w:cs="Arial"/>
          <w:bCs/>
          <w:sz w:val="24"/>
        </w:rPr>
        <w:t>USA</w:t>
      </w:r>
      <w:r w:rsidR="00E765C3" w:rsidRPr="00E765C3">
        <w:rPr>
          <w:rFonts w:cs="Arial"/>
          <w:bCs/>
          <w:sz w:val="24"/>
        </w:rPr>
        <w:t xml:space="preserve">, </w:t>
      </w:r>
      <w:r>
        <w:rPr>
          <w:rFonts w:cs="Arial"/>
          <w:bCs/>
          <w:sz w:val="24"/>
        </w:rPr>
        <w:t>November</w:t>
      </w:r>
      <w:r w:rsidR="00E765C3" w:rsidRPr="00E765C3">
        <w:rPr>
          <w:rFonts w:cs="Arial"/>
          <w:bCs/>
          <w:sz w:val="24"/>
        </w:rPr>
        <w:t xml:space="preserve"> </w:t>
      </w:r>
      <w:r>
        <w:rPr>
          <w:rFonts w:cs="Arial"/>
          <w:bCs/>
          <w:sz w:val="24"/>
        </w:rPr>
        <w:t>12</w:t>
      </w:r>
      <w:r w:rsidR="00E765C3" w:rsidRPr="0048748C">
        <w:rPr>
          <w:rFonts w:cs="Arial"/>
          <w:bCs/>
          <w:sz w:val="24"/>
          <w:vertAlign w:val="superscript"/>
        </w:rPr>
        <w:t>th</w:t>
      </w:r>
      <w:r w:rsidR="004A31BE">
        <w:rPr>
          <w:rFonts w:cs="Arial"/>
          <w:bCs/>
          <w:sz w:val="24"/>
        </w:rPr>
        <w:t xml:space="preserve"> </w:t>
      </w:r>
      <w:r w:rsidR="00E765C3" w:rsidRPr="00E765C3">
        <w:rPr>
          <w:rFonts w:cs="Arial"/>
          <w:bCs/>
          <w:sz w:val="24"/>
        </w:rPr>
        <w:t>– 1</w:t>
      </w:r>
      <w:r w:rsidR="00854CCF">
        <w:rPr>
          <w:rFonts w:cs="Arial"/>
          <w:bCs/>
          <w:sz w:val="24"/>
        </w:rPr>
        <w:t>6</w:t>
      </w:r>
      <w:r w:rsidR="00E765C3" w:rsidRPr="0048748C">
        <w:rPr>
          <w:rFonts w:cs="Arial"/>
          <w:bCs/>
          <w:sz w:val="24"/>
          <w:vertAlign w:val="superscript"/>
        </w:rPr>
        <w:t>th</w:t>
      </w:r>
      <w:r w:rsidR="00E765C3" w:rsidRPr="00E765C3">
        <w:rPr>
          <w:rFonts w:cs="Arial"/>
          <w:bCs/>
          <w:sz w:val="24"/>
        </w:rPr>
        <w:t>, 2018</w:t>
      </w:r>
    </w:p>
    <w:p w14:paraId="4E847B5D" w14:textId="77777777" w:rsidR="006B10EA" w:rsidRPr="000A44DE" w:rsidRDefault="006B10EA" w:rsidP="00CA26CE">
      <w:pPr>
        <w:pStyle w:val="Header"/>
        <w:rPr>
          <w:bCs/>
          <w:noProof w:val="0"/>
          <w:sz w:val="24"/>
          <w:lang w:eastAsia="ja-JP"/>
        </w:rPr>
      </w:pPr>
    </w:p>
    <w:p w14:paraId="08AC4AD5" w14:textId="69F0156E" w:rsidR="0034111C" w:rsidRPr="00ED270C" w:rsidRDefault="0034111C">
      <w:pPr>
        <w:pStyle w:val="CRCoverPage"/>
        <w:rPr>
          <w:rFonts w:eastAsia="Arial" w:cs="Arial"/>
          <w:b/>
          <w:bCs/>
          <w:sz w:val="24"/>
          <w:szCs w:val="24"/>
          <w:lang w:val="en-US" w:eastAsia="ja-JP"/>
        </w:rPr>
      </w:pPr>
      <w:r w:rsidRPr="00A3048F">
        <w:rPr>
          <w:b/>
          <w:bCs/>
          <w:sz w:val="24"/>
          <w:szCs w:val="24"/>
        </w:rPr>
        <w:t>Agenda item:</w:t>
      </w:r>
      <w:r w:rsidRPr="00195EC5">
        <w:rPr>
          <w:rFonts w:cs="Arial"/>
          <w:b/>
          <w:bCs/>
          <w:sz w:val="24"/>
        </w:rPr>
        <w:tab/>
      </w:r>
      <w:r w:rsidRPr="00195EC5">
        <w:rPr>
          <w:rFonts w:cs="Arial"/>
          <w:b/>
          <w:bCs/>
          <w:sz w:val="24"/>
        </w:rPr>
        <w:tab/>
      </w:r>
      <w:r w:rsidR="00A834F6">
        <w:rPr>
          <w:rFonts w:cs="Arial"/>
          <w:b/>
          <w:bCs/>
          <w:sz w:val="24"/>
        </w:rPr>
        <w:t>10.2.2</w:t>
      </w:r>
    </w:p>
    <w:p w14:paraId="54BF8606" w14:textId="6C255ADC" w:rsidR="00E128F2" w:rsidRPr="00ED270C" w:rsidRDefault="0034111C" w:rsidP="00ED270C">
      <w:pPr>
        <w:tabs>
          <w:tab w:val="left" w:pos="1985"/>
        </w:tabs>
        <w:spacing w:after="120"/>
        <w:ind w:left="1985" w:hanging="1985"/>
        <w:rPr>
          <w:rFonts w:ascii="Arial" w:eastAsia="Arial" w:hAnsi="Arial" w:cs="Arial"/>
          <w:b/>
          <w:bCs/>
          <w:sz w:val="24"/>
          <w:szCs w:val="24"/>
          <w:lang w:val="en-US"/>
        </w:rPr>
      </w:pPr>
      <w:r w:rsidRPr="00ED270C">
        <w:rPr>
          <w:rFonts w:ascii="Arial" w:eastAsia="Arial" w:hAnsi="Arial" w:cs="Arial"/>
          <w:b/>
          <w:bCs/>
          <w:sz w:val="24"/>
          <w:szCs w:val="24"/>
        </w:rPr>
        <w:t>Source:</w:t>
      </w:r>
      <w:r w:rsidRPr="0016316A">
        <w:rPr>
          <w:rFonts w:ascii="Arial" w:hAnsi="Arial" w:cs="Arial"/>
          <w:b/>
          <w:bCs/>
          <w:sz w:val="24"/>
        </w:rPr>
        <w:tab/>
      </w:r>
      <w:r w:rsidR="00013455" w:rsidRPr="00ED270C">
        <w:rPr>
          <w:rFonts w:ascii="Arial" w:eastAsia="Arial" w:hAnsi="Arial" w:cs="Arial"/>
          <w:b/>
          <w:bCs/>
          <w:sz w:val="24"/>
          <w:szCs w:val="24"/>
        </w:rPr>
        <w:t xml:space="preserve">Nokia, </w:t>
      </w:r>
      <w:r w:rsidR="00B22CD3" w:rsidRPr="00ED270C">
        <w:rPr>
          <w:rFonts w:ascii="Arial" w:eastAsia="Arial" w:hAnsi="Arial" w:cs="Arial"/>
          <w:b/>
          <w:bCs/>
          <w:sz w:val="24"/>
          <w:szCs w:val="24"/>
        </w:rPr>
        <w:t xml:space="preserve">Nokia </w:t>
      </w:r>
      <w:r w:rsidR="00013455" w:rsidRPr="00ED270C">
        <w:rPr>
          <w:rFonts w:ascii="Arial" w:eastAsia="Arial" w:hAnsi="Arial" w:cs="Arial"/>
          <w:b/>
          <w:bCs/>
          <w:sz w:val="24"/>
          <w:szCs w:val="24"/>
        </w:rPr>
        <w:t>Shanghai Bell</w:t>
      </w:r>
    </w:p>
    <w:p w14:paraId="52857A4E" w14:textId="44A34E48" w:rsidR="0034111C" w:rsidRPr="00ED270C" w:rsidRDefault="0034111C">
      <w:pPr>
        <w:ind w:left="1985" w:hanging="1985"/>
        <w:rPr>
          <w:rFonts w:ascii="Arial" w:eastAsia="Arial" w:hAnsi="Arial" w:cs="Arial"/>
          <w:b/>
          <w:bCs/>
          <w:sz w:val="24"/>
          <w:szCs w:val="24"/>
        </w:rPr>
      </w:pPr>
      <w:r w:rsidRPr="00ED270C">
        <w:rPr>
          <w:rFonts w:ascii="Arial" w:eastAsia="Arial" w:hAnsi="Arial" w:cs="Arial"/>
          <w:b/>
          <w:bCs/>
          <w:sz w:val="24"/>
          <w:szCs w:val="24"/>
        </w:rPr>
        <w:t>Title:</w:t>
      </w:r>
      <w:r w:rsidRPr="0016316A">
        <w:rPr>
          <w:rFonts w:ascii="Arial" w:hAnsi="Arial" w:cs="Arial"/>
          <w:b/>
          <w:bCs/>
          <w:sz w:val="24"/>
        </w:rPr>
        <w:tab/>
      </w:r>
      <w:r w:rsidR="00E765C3" w:rsidRPr="00EE1FD1">
        <w:rPr>
          <w:rFonts w:ascii="Arial" w:hAnsi="Arial" w:cs="Arial"/>
          <w:b/>
          <w:bCs/>
          <w:sz w:val="24"/>
          <w:szCs w:val="24"/>
        </w:rPr>
        <w:t xml:space="preserve">On the </w:t>
      </w:r>
      <w:r w:rsidR="00E765C3">
        <w:rPr>
          <w:rFonts w:ascii="Arial" w:eastAsia="Arial" w:hAnsi="Arial" w:cs="Arial"/>
          <w:b/>
          <w:bCs/>
          <w:sz w:val="24"/>
          <w:szCs w:val="24"/>
        </w:rPr>
        <w:t>Wideband operation</w:t>
      </w:r>
      <w:r w:rsidR="00051616" w:rsidRPr="00ED270C">
        <w:rPr>
          <w:rFonts w:ascii="Arial" w:eastAsia="Arial" w:hAnsi="Arial" w:cs="Arial"/>
          <w:b/>
          <w:bCs/>
          <w:sz w:val="24"/>
          <w:szCs w:val="24"/>
        </w:rPr>
        <w:t xml:space="preserve"> for NR-U </w:t>
      </w:r>
    </w:p>
    <w:p w14:paraId="65B1F247" w14:textId="77777777" w:rsidR="0034111C" w:rsidRPr="00ED270C" w:rsidRDefault="0034111C">
      <w:pPr>
        <w:rPr>
          <w:rFonts w:ascii="Arial" w:eastAsia="Arial" w:hAnsi="Arial" w:cs="Arial"/>
          <w:b/>
          <w:bCs/>
          <w:sz w:val="24"/>
          <w:szCs w:val="24"/>
        </w:rPr>
      </w:pPr>
      <w:r w:rsidRPr="00ED270C">
        <w:rPr>
          <w:rFonts w:ascii="Arial" w:eastAsia="Arial" w:hAnsi="Arial" w:cs="Arial"/>
          <w:b/>
          <w:bCs/>
          <w:sz w:val="24"/>
          <w:szCs w:val="24"/>
        </w:rPr>
        <w:t>Document for:</w:t>
      </w:r>
      <w:r w:rsidRPr="0016316A">
        <w:rPr>
          <w:rFonts w:ascii="Arial" w:hAnsi="Arial" w:cs="Arial"/>
          <w:b/>
          <w:bCs/>
          <w:sz w:val="24"/>
        </w:rPr>
        <w:tab/>
      </w:r>
      <w:r w:rsidRPr="0016316A">
        <w:rPr>
          <w:rFonts w:ascii="Arial" w:hAnsi="Arial" w:cs="Arial"/>
          <w:b/>
          <w:bCs/>
          <w:sz w:val="24"/>
        </w:rPr>
        <w:tab/>
      </w:r>
      <w:r w:rsidRPr="00ED270C">
        <w:rPr>
          <w:rFonts w:ascii="Arial" w:eastAsia="Arial" w:hAnsi="Arial" w:cs="Arial"/>
          <w:b/>
          <w:bCs/>
          <w:sz w:val="24"/>
          <w:szCs w:val="24"/>
        </w:rPr>
        <w:t>Discussion and Decision</w:t>
      </w:r>
    </w:p>
    <w:p w14:paraId="4EB1BC54" w14:textId="72288512" w:rsidR="00F76410" w:rsidRPr="00F76410" w:rsidRDefault="00EE7FA7" w:rsidP="00BA050D">
      <w:pPr>
        <w:pStyle w:val="Heading1"/>
      </w:pPr>
      <w:r w:rsidRPr="0016316A">
        <w:t>Introduction</w:t>
      </w:r>
    </w:p>
    <w:p w14:paraId="67506707" w14:textId="416064EA" w:rsidR="00F76410" w:rsidRPr="00ED270C" w:rsidRDefault="1CEFF1BD" w:rsidP="00ED270C">
      <w:pPr>
        <w:spacing w:after="120"/>
        <w:jc w:val="both"/>
        <w:rPr>
          <w:rFonts w:eastAsia="Times New Roman"/>
          <w:lang w:val="en-US" w:eastAsia="fi-FI"/>
        </w:rPr>
      </w:pPr>
      <w:r w:rsidRPr="00ED270C">
        <w:rPr>
          <w:lang w:val="en-US" w:eastAsia="fi-FI"/>
        </w:rPr>
        <w:t xml:space="preserve">During RAN plenary #78, the release 15 NR specifications supporting licensed band operation were approved. Before that a NR Study Item [1] dealing with NR-based access to unlicensed spectrum has been approved in RAN plenary </w:t>
      </w:r>
      <w:r w:rsidR="00AD61F5" w:rsidRPr="00ED270C">
        <w:rPr>
          <w:lang w:val="en-US" w:eastAsia="fi-FI"/>
        </w:rPr>
        <w:t>#75</w:t>
      </w:r>
      <w:r w:rsidRPr="14CAD5E4">
        <w:rPr>
          <w:rFonts w:eastAsia="Times New Roman"/>
          <w:lang w:val="en-US" w:eastAsia="fi-FI"/>
        </w:rPr>
        <w:t>.</w:t>
      </w:r>
    </w:p>
    <w:p w14:paraId="5E7FE72F" w14:textId="2F919472" w:rsidR="00E765C3" w:rsidRDefault="00CC36D2" w:rsidP="0048748C">
      <w:pPr>
        <w:rPr>
          <w:lang w:val="en-US" w:eastAsia="fi-FI"/>
        </w:rPr>
      </w:pPr>
      <w:r w:rsidRPr="00ED270C">
        <w:rPr>
          <w:lang w:val="en-US" w:eastAsia="fi-FI"/>
        </w:rPr>
        <w:t>To</w:t>
      </w:r>
      <w:r w:rsidR="00F76410" w:rsidRPr="00ED270C">
        <w:rPr>
          <w:lang w:val="en-US" w:eastAsia="fi-FI"/>
        </w:rPr>
        <w:t xml:space="preserve"> maximize the applicability of NR-</w:t>
      </w:r>
      <w:r w:rsidR="00444190" w:rsidRPr="00ED270C">
        <w:rPr>
          <w:lang w:val="en-US" w:eastAsia="fi-FI"/>
        </w:rPr>
        <w:t>based access, it i</w:t>
      </w:r>
      <w:r w:rsidR="00F76410" w:rsidRPr="00ED270C">
        <w:rPr>
          <w:lang w:val="en-US" w:eastAsia="fi-FI"/>
        </w:rPr>
        <w:t xml:space="preserve">s beneficial to study solutions applicable to unlicensed bands scenarios as part of the NR development. </w:t>
      </w:r>
      <w:r w:rsidR="00A23069" w:rsidRPr="00ED270C">
        <w:rPr>
          <w:lang w:val="en-US" w:eastAsia="fi-FI"/>
        </w:rPr>
        <w:t>In this contribution</w:t>
      </w:r>
      <w:r w:rsidRPr="00ED270C">
        <w:rPr>
          <w:rFonts w:eastAsia="Times New Roman"/>
          <w:lang w:val="en-US" w:eastAsia="fi-FI"/>
        </w:rPr>
        <w:t>,</w:t>
      </w:r>
      <w:r w:rsidR="00A23069" w:rsidRPr="00ED270C">
        <w:rPr>
          <w:lang w:val="en-US" w:eastAsia="fi-FI"/>
        </w:rPr>
        <w:t xml:space="preserve"> we consider </w:t>
      </w:r>
      <w:r w:rsidR="00E765C3">
        <w:rPr>
          <w:lang w:val="en-US" w:eastAsia="fi-FI"/>
        </w:rPr>
        <w:t>wideband operation</w:t>
      </w:r>
      <w:r w:rsidR="00BA050D">
        <w:rPr>
          <w:lang w:val="en-US" w:eastAsia="fi-FI"/>
        </w:rPr>
        <w:t xml:space="preserve"> of NR-U and its impact on RAN4</w:t>
      </w:r>
      <w:r w:rsidR="00051616" w:rsidRPr="00ED270C">
        <w:rPr>
          <w:lang w:val="en-US" w:eastAsia="fi-FI"/>
        </w:rPr>
        <w:t xml:space="preserve">. </w:t>
      </w:r>
    </w:p>
    <w:p w14:paraId="351974C7" w14:textId="5D09D343" w:rsidR="00E56D51" w:rsidRPr="0048748C" w:rsidRDefault="00BA050D" w:rsidP="0048748C">
      <w:r>
        <w:t xml:space="preserve">Moreover, in </w:t>
      </w:r>
      <w:r w:rsidR="000E67A4">
        <w:t>RAN1#94bis</w:t>
      </w:r>
      <w:r w:rsidR="00683E46">
        <w:t>,</w:t>
      </w:r>
      <w:r w:rsidR="00D84298">
        <w:t xml:space="preserve"> RAN1 sent</w:t>
      </w:r>
      <w:r w:rsidR="000E67A4">
        <w:t xml:space="preserve"> an LS</w:t>
      </w:r>
      <w:r w:rsidR="00D84298">
        <w:t xml:space="preserve"> </w:t>
      </w:r>
      <w:r w:rsidR="000E186C">
        <w:fldChar w:fldCharType="begin"/>
      </w:r>
      <w:r w:rsidR="000E186C">
        <w:instrText xml:space="preserve"> REF _Ref528781272 \r \h </w:instrText>
      </w:r>
      <w:r w:rsidR="000E186C">
        <w:fldChar w:fldCharType="separate"/>
      </w:r>
      <w:r w:rsidR="000E186C">
        <w:t>[3]</w:t>
      </w:r>
      <w:r w:rsidR="000E186C">
        <w:fldChar w:fldCharType="end"/>
      </w:r>
      <w:r w:rsidR="000E186C">
        <w:t xml:space="preserve"> </w:t>
      </w:r>
      <w:r w:rsidR="000E67A4">
        <w:t>to RAN4</w:t>
      </w:r>
      <w:r w:rsidR="00D84298">
        <w:t xml:space="preserve"> with </w:t>
      </w:r>
      <w:r w:rsidR="00683E46">
        <w:t xml:space="preserve">several </w:t>
      </w:r>
      <w:r w:rsidR="00D84298">
        <w:t xml:space="preserve">questions, </w:t>
      </w:r>
      <w:r w:rsidR="00683E46">
        <w:t xml:space="preserve">for which we will provide answers in this contribution. </w:t>
      </w:r>
    </w:p>
    <w:p w14:paraId="0E4E4A2D" w14:textId="6D764688" w:rsidR="00011A68" w:rsidRDefault="00011A68" w:rsidP="00011A68">
      <w:pPr>
        <w:pStyle w:val="Heading1"/>
        <w:rPr>
          <w:color w:val="000000"/>
        </w:rPr>
      </w:pPr>
      <w:r>
        <w:rPr>
          <w:color w:val="000000"/>
        </w:rPr>
        <w:t>Wideband operation</w:t>
      </w:r>
    </w:p>
    <w:p w14:paraId="68498496" w14:textId="14AEAE9C" w:rsidR="000A1828" w:rsidRDefault="000A1828" w:rsidP="000A1828">
      <w:pPr>
        <w:jc w:val="both"/>
        <w:rPr>
          <w:rFonts w:cs="Arial"/>
          <w:color w:val="000000" w:themeColor="text1"/>
        </w:rPr>
      </w:pPr>
      <w:r w:rsidRPr="00615FB7">
        <w:rPr>
          <w:rFonts w:cs="Arial"/>
          <w:color w:val="000000" w:themeColor="text1"/>
        </w:rPr>
        <w:t xml:space="preserve">When operating according to unlicensed band regulations </w:t>
      </w:r>
      <w:r>
        <w:rPr>
          <w:rFonts w:cs="Arial"/>
          <w:color w:val="000000" w:themeColor="text1"/>
        </w:rPr>
        <w:t>for 5 GHz bands</w:t>
      </w:r>
      <w:r w:rsidRPr="00615FB7">
        <w:rPr>
          <w:rFonts w:cs="Arial"/>
          <w:color w:val="000000" w:themeColor="text1"/>
        </w:rPr>
        <w:t xml:space="preserve">, </w:t>
      </w:r>
      <w:r>
        <w:rPr>
          <w:rFonts w:cs="Arial"/>
          <w:color w:val="000000" w:themeColor="text1"/>
        </w:rPr>
        <w:t xml:space="preserve">a </w:t>
      </w:r>
      <w:r w:rsidRPr="00615FB7">
        <w:rPr>
          <w:rFonts w:cs="Arial"/>
          <w:color w:val="000000" w:themeColor="text1"/>
        </w:rPr>
        <w:t xml:space="preserve">gNB must perform LBT before it can start transmitting DL </w:t>
      </w:r>
      <w:r w:rsidR="00AF75C0">
        <w:rPr>
          <w:rFonts w:cs="Arial"/>
          <w:color w:val="000000" w:themeColor="text1"/>
        </w:rPr>
        <w:t>TX</w:t>
      </w:r>
      <w:r w:rsidRPr="00615FB7">
        <w:rPr>
          <w:rFonts w:cs="Arial"/>
          <w:color w:val="000000" w:themeColor="text1"/>
        </w:rPr>
        <w:t xml:space="preserve"> burst in the cell. To meet regulatory requirements and to ensure fair coexistence with other systems, also NR unlicensed should support sub-band LBT at least with 20 MHz resolution. </w:t>
      </w:r>
      <w:r>
        <w:rPr>
          <w:rFonts w:cs="Arial"/>
          <w:color w:val="000000" w:themeColor="text1"/>
        </w:rPr>
        <w:t>This means that there needs to be sufficient support for adapting the transmission bandwidth dynamically, depending on which of the 20</w:t>
      </w:r>
      <w:r w:rsidR="00A834F6">
        <w:rPr>
          <w:rFonts w:cs="Arial"/>
          <w:color w:val="000000" w:themeColor="text1"/>
        </w:rPr>
        <w:t xml:space="preserve"> </w:t>
      </w:r>
      <w:r>
        <w:rPr>
          <w:rFonts w:cs="Arial"/>
          <w:color w:val="000000" w:themeColor="text1"/>
        </w:rPr>
        <w:t>MHz channels a gNodeB or a UE can access the medium.</w:t>
      </w:r>
    </w:p>
    <w:p w14:paraId="5823B81D" w14:textId="07020C6B" w:rsidR="00627991" w:rsidRPr="00ED270C" w:rsidRDefault="00627991" w:rsidP="00627991">
      <w:pPr>
        <w:pStyle w:val="Heading2"/>
        <w:rPr>
          <w:sz w:val="28"/>
          <w:szCs w:val="28"/>
        </w:rPr>
      </w:pPr>
      <w:r>
        <w:rPr>
          <w:sz w:val="28"/>
          <w:szCs w:val="28"/>
        </w:rPr>
        <w:t>Carrier Aggregation and Bandwidth Parts</w:t>
      </w:r>
    </w:p>
    <w:p w14:paraId="15E27001" w14:textId="55BC78F0" w:rsidR="00627991" w:rsidRDefault="00D84298" w:rsidP="00BC4958">
      <w:pPr>
        <w:spacing w:after="0"/>
        <w:jc w:val="both"/>
      </w:pPr>
      <w:r w:rsidRPr="00D84298">
        <w:t>From</w:t>
      </w:r>
      <w:r>
        <w:t xml:space="preserve"> RAN1 perspective, the following agreement</w:t>
      </w:r>
      <w:r w:rsidR="000E186C">
        <w:t xml:space="preserve"> </w:t>
      </w:r>
      <w:r w:rsidR="000E186C">
        <w:fldChar w:fldCharType="begin"/>
      </w:r>
      <w:r w:rsidR="000E186C">
        <w:instrText xml:space="preserve"> REF _Ref528781166 \r \h </w:instrText>
      </w:r>
      <w:r w:rsidR="000E186C">
        <w:fldChar w:fldCharType="separate"/>
      </w:r>
      <w:r w:rsidR="000E186C">
        <w:t>[2]</w:t>
      </w:r>
      <w:r w:rsidR="000E186C">
        <w:fldChar w:fldCharType="end"/>
      </w:r>
      <w:r w:rsidR="000E186C">
        <w:t xml:space="preserve"> </w:t>
      </w:r>
      <w:r>
        <w:t>is in place</w:t>
      </w:r>
      <w:r w:rsidR="00A834F6">
        <w:t>.</w:t>
      </w:r>
    </w:p>
    <w:p w14:paraId="1D52E769" w14:textId="10846DBB" w:rsidR="00D84298" w:rsidRDefault="00D84298" w:rsidP="00BC4958">
      <w:pPr>
        <w:spacing w:after="0"/>
        <w:jc w:val="both"/>
      </w:pPr>
    </w:p>
    <w:p w14:paraId="00DE77B1" w14:textId="77777777" w:rsidR="00D84298" w:rsidRDefault="00D84298" w:rsidP="00D84298">
      <w:pPr>
        <w:rPr>
          <w:lang w:eastAsia="x-none"/>
        </w:rPr>
      </w:pPr>
      <w:r>
        <w:rPr>
          <w:highlight w:val="green"/>
          <w:lang w:eastAsia="x-none"/>
        </w:rPr>
        <w:t>Agreement:</w:t>
      </w:r>
    </w:p>
    <w:p w14:paraId="71A28290" w14:textId="77777777" w:rsidR="00D84298" w:rsidRDefault="00D84298" w:rsidP="00D84298">
      <w:pPr>
        <w:numPr>
          <w:ilvl w:val="0"/>
          <w:numId w:val="44"/>
        </w:numPr>
        <w:overflowPunct/>
        <w:autoSpaceDE/>
        <w:autoSpaceDN/>
        <w:adjustRightInd/>
        <w:spacing w:after="0"/>
        <w:ind w:left="1440"/>
        <w:textAlignment w:val="auto"/>
        <w:rPr>
          <w:lang w:eastAsia="x-none"/>
        </w:rPr>
      </w:pPr>
      <w:r>
        <w:rPr>
          <w:lang w:eastAsia="x-none"/>
        </w:rPr>
        <w:t>NR-U should support that a serving cell can be configured with bandwidth larger than 20 MHz.</w:t>
      </w:r>
    </w:p>
    <w:p w14:paraId="0277B02D" w14:textId="77777777" w:rsidR="00D84298" w:rsidRDefault="00D84298" w:rsidP="00D84298">
      <w:pPr>
        <w:numPr>
          <w:ilvl w:val="1"/>
          <w:numId w:val="44"/>
        </w:numPr>
        <w:overflowPunct/>
        <w:autoSpaceDE/>
        <w:autoSpaceDN/>
        <w:adjustRightInd/>
        <w:spacing w:after="0"/>
        <w:ind w:left="2160"/>
        <w:textAlignment w:val="auto"/>
        <w:rPr>
          <w:lang w:eastAsia="x-none"/>
        </w:rPr>
      </w:pPr>
      <w:r>
        <w:rPr>
          <w:lang w:eastAsia="x-none"/>
        </w:rPr>
        <w:t>For DL operation, the following options for BWP-based operation within a carrier with bandwidth larger than 20 MHz can be considered.</w:t>
      </w:r>
    </w:p>
    <w:p w14:paraId="44AE4F8A" w14:textId="77777777" w:rsidR="00D84298" w:rsidRDefault="00D84298" w:rsidP="00D84298">
      <w:pPr>
        <w:numPr>
          <w:ilvl w:val="2"/>
          <w:numId w:val="44"/>
        </w:numPr>
        <w:overflowPunct/>
        <w:autoSpaceDE/>
        <w:autoSpaceDN/>
        <w:adjustRightInd/>
        <w:spacing w:after="0"/>
        <w:ind w:left="2880"/>
        <w:textAlignment w:val="auto"/>
        <w:rPr>
          <w:lang w:eastAsia="x-none"/>
        </w:rPr>
      </w:pPr>
      <w:r>
        <w:rPr>
          <w:lang w:eastAsia="x-none"/>
        </w:rPr>
        <w:t>Option 1a: Multiple BWPs configured, multiple BWPs activated, transmission of PDSCH on one or more BWPs</w:t>
      </w:r>
    </w:p>
    <w:p w14:paraId="6E2E4CE1" w14:textId="77777777" w:rsidR="00D84298" w:rsidRDefault="00D84298" w:rsidP="00D84298">
      <w:pPr>
        <w:numPr>
          <w:ilvl w:val="2"/>
          <w:numId w:val="44"/>
        </w:numPr>
        <w:overflowPunct/>
        <w:autoSpaceDE/>
        <w:autoSpaceDN/>
        <w:adjustRightInd/>
        <w:spacing w:after="0"/>
        <w:ind w:left="2880"/>
        <w:textAlignment w:val="auto"/>
        <w:rPr>
          <w:lang w:eastAsia="x-none"/>
        </w:rPr>
      </w:pPr>
      <w:r>
        <w:rPr>
          <w:lang w:eastAsia="x-none"/>
        </w:rPr>
        <w:t>Option 1b: Multiple BWPs configured, multiple BWPs activated, transmission of PDSCH on single BWP</w:t>
      </w:r>
    </w:p>
    <w:p w14:paraId="01484C3A" w14:textId="77777777" w:rsidR="00D84298" w:rsidRDefault="00D84298" w:rsidP="00D84298">
      <w:pPr>
        <w:numPr>
          <w:ilvl w:val="2"/>
          <w:numId w:val="44"/>
        </w:numPr>
        <w:overflowPunct/>
        <w:autoSpaceDE/>
        <w:autoSpaceDN/>
        <w:adjustRightInd/>
        <w:spacing w:after="0"/>
        <w:ind w:left="2880"/>
        <w:textAlignment w:val="auto"/>
        <w:rPr>
          <w:lang w:eastAsia="x-none"/>
        </w:rPr>
      </w:pPr>
      <w:r>
        <w:rPr>
          <w:lang w:eastAsia="x-none"/>
        </w:rPr>
        <w:t>Option 2: Multiple BWPs can be configured, single BWP activated, gNB transmits PDSCH on a single BWP if CCA is successful at gNB for the whole BWP</w:t>
      </w:r>
    </w:p>
    <w:p w14:paraId="4DA1038B" w14:textId="77777777" w:rsidR="00D84298" w:rsidRDefault="00D84298" w:rsidP="00D84298">
      <w:pPr>
        <w:numPr>
          <w:ilvl w:val="2"/>
          <w:numId w:val="44"/>
        </w:numPr>
        <w:overflowPunct/>
        <w:autoSpaceDE/>
        <w:autoSpaceDN/>
        <w:adjustRightInd/>
        <w:spacing w:after="0"/>
        <w:ind w:left="2880"/>
        <w:textAlignment w:val="auto"/>
        <w:rPr>
          <w:lang w:eastAsia="x-none"/>
        </w:rPr>
      </w:pPr>
      <w:r>
        <w:rPr>
          <w:lang w:eastAsia="x-none"/>
        </w:rPr>
        <w:t>Option 3: Multiple BWPs can be configured, single BWP activated, gNB transmits PDSCH on parts or whole of single BWP where CCA is successful at gNB</w:t>
      </w:r>
    </w:p>
    <w:p w14:paraId="3511C75C" w14:textId="77777777" w:rsidR="00D84298" w:rsidRDefault="00D84298" w:rsidP="00D84298">
      <w:pPr>
        <w:numPr>
          <w:ilvl w:val="1"/>
          <w:numId w:val="44"/>
        </w:numPr>
        <w:overflowPunct/>
        <w:autoSpaceDE/>
        <w:autoSpaceDN/>
        <w:adjustRightInd/>
        <w:spacing w:after="0"/>
        <w:ind w:left="2160"/>
        <w:textAlignment w:val="auto"/>
        <w:rPr>
          <w:lang w:eastAsia="x-none"/>
        </w:rPr>
      </w:pPr>
      <w:r>
        <w:rPr>
          <w:lang w:eastAsia="x-none"/>
        </w:rPr>
        <w:t>Note: CCA is declared to be successful or not in multiples of 20 MHz.</w:t>
      </w:r>
    </w:p>
    <w:p w14:paraId="0619EDE4" w14:textId="77777777" w:rsidR="00D84298" w:rsidRDefault="00D84298" w:rsidP="00D84298">
      <w:pPr>
        <w:numPr>
          <w:ilvl w:val="1"/>
          <w:numId w:val="44"/>
        </w:numPr>
        <w:overflowPunct/>
        <w:autoSpaceDE/>
        <w:autoSpaceDN/>
        <w:adjustRightInd/>
        <w:spacing w:after="0"/>
        <w:ind w:left="2160"/>
        <w:textAlignment w:val="auto"/>
        <w:rPr>
          <w:lang w:eastAsia="x-none"/>
        </w:rPr>
      </w:pPr>
      <w:r>
        <w:rPr>
          <w:lang w:eastAsia="x-none"/>
        </w:rPr>
        <w:t>FFS for UL operation including some or all of above options can be applied</w:t>
      </w:r>
    </w:p>
    <w:p w14:paraId="2BC7F2A9" w14:textId="77777777" w:rsidR="00D84298" w:rsidRDefault="00D84298" w:rsidP="00D84298">
      <w:pPr>
        <w:numPr>
          <w:ilvl w:val="0"/>
          <w:numId w:val="44"/>
        </w:numPr>
        <w:overflowPunct/>
        <w:autoSpaceDE/>
        <w:autoSpaceDN/>
        <w:adjustRightInd/>
        <w:spacing w:after="0"/>
        <w:ind w:left="1440"/>
        <w:textAlignment w:val="auto"/>
        <w:rPr>
          <w:lang w:eastAsia="x-none"/>
        </w:rPr>
      </w:pPr>
      <w:r>
        <w:rPr>
          <w:lang w:eastAsia="x-none"/>
        </w:rPr>
        <w:t>Note: Capture the following in TR only after further discussion for down-selecting from the options in RAN1#95.</w:t>
      </w:r>
    </w:p>
    <w:p w14:paraId="2B8EA9E5" w14:textId="7872BF30" w:rsidR="00D84298" w:rsidRDefault="00D84298" w:rsidP="00BC4958">
      <w:pPr>
        <w:spacing w:after="0"/>
        <w:jc w:val="both"/>
      </w:pPr>
    </w:p>
    <w:p w14:paraId="68B7DD68" w14:textId="175B2A4A" w:rsidR="00D84298" w:rsidRDefault="00D84298" w:rsidP="00BC4958">
      <w:pPr>
        <w:spacing w:after="0"/>
        <w:jc w:val="both"/>
      </w:pPr>
      <w:r>
        <w:t>Above, agreement capture</w:t>
      </w:r>
      <w:r w:rsidR="00683E46">
        <w:t>s</w:t>
      </w:r>
      <w:r>
        <w:t xml:space="preserve"> 4 </w:t>
      </w:r>
      <w:r w:rsidR="00683E46">
        <w:t>alternatives</w:t>
      </w:r>
      <w:r>
        <w:t xml:space="preserve"> to operate serving cell across multiple sub-bands.</w:t>
      </w:r>
      <w:r w:rsidR="00854CCF">
        <w:t xml:space="preserve"> In principle, </w:t>
      </w:r>
      <w:r>
        <w:t xml:space="preserve">there is one more </w:t>
      </w:r>
      <w:r w:rsidR="00854CCF">
        <w:t>option, “</w:t>
      </w:r>
      <w:r>
        <w:t>Option 0</w:t>
      </w:r>
      <w:r w:rsidR="00854CCF">
        <w:t>”</w:t>
      </w:r>
      <w:r>
        <w:t xml:space="preserve">, where serving cells spans only one </w:t>
      </w:r>
      <w:r w:rsidR="00683E46">
        <w:t xml:space="preserve">20MHz </w:t>
      </w:r>
      <w:r>
        <w:t xml:space="preserve">sub-band. </w:t>
      </w:r>
      <w:r w:rsidR="00854CCF">
        <w:t>In the following we describe the above options in more detail:</w:t>
      </w:r>
    </w:p>
    <w:p w14:paraId="0C3B1B18" w14:textId="77777777" w:rsidR="00D84298" w:rsidRDefault="00D84298" w:rsidP="00BC4958">
      <w:pPr>
        <w:spacing w:after="0"/>
        <w:jc w:val="both"/>
      </w:pPr>
    </w:p>
    <w:p w14:paraId="651D93F7" w14:textId="513BFB5A" w:rsidR="00D84298" w:rsidRDefault="00D84298" w:rsidP="00BC4958">
      <w:pPr>
        <w:spacing w:after="0"/>
        <w:jc w:val="both"/>
      </w:pPr>
      <w:r w:rsidRPr="003450BD">
        <w:rPr>
          <w:b/>
        </w:rPr>
        <w:t>Option 0</w:t>
      </w:r>
      <w:r w:rsidR="003450BD" w:rsidRPr="003450BD">
        <w:rPr>
          <w:b/>
        </w:rPr>
        <w:t>:</w:t>
      </w:r>
      <w:r>
        <w:t xml:space="preserve"> serving cell from gNB point of view spans only 20MHz, which means that also BWPs of the serving cell can span at most 20MHz</w:t>
      </w:r>
      <w:r w:rsidR="003450BD">
        <w:t xml:space="preserve"> and one BWP is active in a serving cell at a given time</w:t>
      </w:r>
      <w:r>
        <w:t>. By e.g. intra-band CA, a UE can access BW</w:t>
      </w:r>
      <w:r w:rsidR="00683E46">
        <w:t xml:space="preserve"> larger than 20MHz</w:t>
      </w:r>
      <w:r>
        <w:t>, similarly as in LAA.</w:t>
      </w:r>
    </w:p>
    <w:p w14:paraId="5CF940E2" w14:textId="613B087F" w:rsidR="00D84298" w:rsidRDefault="00D84298" w:rsidP="00BC4958">
      <w:pPr>
        <w:spacing w:after="0"/>
        <w:jc w:val="both"/>
      </w:pPr>
    </w:p>
    <w:p w14:paraId="33A2BFAE" w14:textId="42A9BC96" w:rsidR="003450BD" w:rsidRDefault="003450BD" w:rsidP="003450BD">
      <w:pPr>
        <w:overflowPunct/>
        <w:autoSpaceDE/>
        <w:autoSpaceDN/>
        <w:adjustRightInd/>
        <w:spacing w:after="0"/>
        <w:textAlignment w:val="auto"/>
        <w:rPr>
          <w:lang w:eastAsia="x-none"/>
        </w:rPr>
      </w:pPr>
      <w:r w:rsidRPr="003450BD">
        <w:rPr>
          <w:b/>
          <w:lang w:eastAsia="x-none"/>
        </w:rPr>
        <w:t>Option 1a:</w:t>
      </w:r>
      <w:r>
        <w:rPr>
          <w:lang w:eastAsia="x-none"/>
        </w:rPr>
        <w:t xml:space="preserve"> </w:t>
      </w:r>
      <w:r>
        <w:t xml:space="preserve">serving cell from gNB point of view spans more than 20MHz. </w:t>
      </w:r>
      <w:r>
        <w:rPr>
          <w:lang w:eastAsia="x-none"/>
        </w:rPr>
        <w:t xml:space="preserve">Multiple BWPs are configured in gNB carrier which can be overlapping or non-overlapping. Multiple BWPs are active at a given time (note </w:t>
      </w:r>
      <w:r w:rsidR="00683E46">
        <w:rPr>
          <w:lang w:eastAsia="x-none"/>
        </w:rPr>
        <w:t>multiple active BWPs in single serving-cell are</w:t>
      </w:r>
      <w:r>
        <w:rPr>
          <w:lang w:eastAsia="x-none"/>
        </w:rPr>
        <w:t xml:space="preserve"> not supported in NR R15).  Transmission of PDSCH, as outcome of LBT, happens on a </w:t>
      </w:r>
      <w:r w:rsidRPr="003450BD">
        <w:rPr>
          <w:color w:val="FF0000"/>
          <w:lang w:eastAsia="x-none"/>
        </w:rPr>
        <w:t>subset</w:t>
      </w:r>
      <w:r>
        <w:rPr>
          <w:lang w:eastAsia="x-none"/>
        </w:rPr>
        <w:t xml:space="preserve"> of active NR R15 BWPs at the </w:t>
      </w:r>
      <w:r w:rsidR="00683E46">
        <w:rPr>
          <w:lang w:eastAsia="x-none"/>
        </w:rPr>
        <w:t>given</w:t>
      </w:r>
      <w:r>
        <w:rPr>
          <w:lang w:eastAsia="x-none"/>
        </w:rPr>
        <w:t xml:space="preserve"> time</w:t>
      </w:r>
      <w:r w:rsidR="00683E46">
        <w:rPr>
          <w:lang w:eastAsia="x-none"/>
        </w:rPr>
        <w:t xml:space="preserve"> in a serving-cell</w:t>
      </w:r>
      <w:r>
        <w:rPr>
          <w:lang w:eastAsia="x-none"/>
        </w:rPr>
        <w:t xml:space="preserve">. </w:t>
      </w:r>
    </w:p>
    <w:p w14:paraId="77E1FF53" w14:textId="77777777" w:rsidR="003450BD" w:rsidRDefault="003450BD" w:rsidP="003450BD">
      <w:pPr>
        <w:overflowPunct/>
        <w:autoSpaceDE/>
        <w:autoSpaceDN/>
        <w:adjustRightInd/>
        <w:spacing w:after="0"/>
        <w:textAlignment w:val="auto"/>
        <w:rPr>
          <w:lang w:eastAsia="x-none"/>
        </w:rPr>
      </w:pPr>
    </w:p>
    <w:p w14:paraId="70AFE9A3" w14:textId="7FD5CAC0" w:rsidR="003450BD" w:rsidRDefault="003450BD" w:rsidP="003450BD">
      <w:pPr>
        <w:overflowPunct/>
        <w:autoSpaceDE/>
        <w:autoSpaceDN/>
        <w:adjustRightInd/>
        <w:spacing w:after="0"/>
        <w:textAlignment w:val="auto"/>
        <w:rPr>
          <w:lang w:eastAsia="x-none"/>
        </w:rPr>
      </w:pPr>
      <w:r w:rsidRPr="003450BD">
        <w:rPr>
          <w:b/>
          <w:lang w:eastAsia="x-none"/>
        </w:rPr>
        <w:t xml:space="preserve">Option 1b: </w:t>
      </w:r>
      <w:r>
        <w:t>serving cell from gNB point of view spans more than 20MHz.</w:t>
      </w:r>
      <w:r w:rsidRPr="003450BD">
        <w:rPr>
          <w:lang w:eastAsia="x-none"/>
        </w:rPr>
        <w:t xml:space="preserve"> </w:t>
      </w:r>
      <w:r>
        <w:rPr>
          <w:lang w:eastAsia="x-none"/>
        </w:rPr>
        <w:t>Multiple BWPs are configured in gNB carrier which can be overlapping or non-overlapping. Multiple BWPs are active at a given time (</w:t>
      </w:r>
      <w:r w:rsidR="00683E46">
        <w:rPr>
          <w:lang w:eastAsia="x-none"/>
        </w:rPr>
        <w:t>note multiple active BWPs in single serving-cell are not supported in NR R15</w:t>
      </w:r>
      <w:r>
        <w:rPr>
          <w:lang w:eastAsia="x-none"/>
        </w:rPr>
        <w:t xml:space="preserve">).  Transmission of PDSCH, as outcome of LBT, happens on </w:t>
      </w:r>
      <w:r w:rsidRPr="003450BD">
        <w:rPr>
          <w:color w:val="FF0000"/>
          <w:lang w:eastAsia="x-none"/>
        </w:rPr>
        <w:t>one</w:t>
      </w:r>
      <w:r>
        <w:rPr>
          <w:lang w:eastAsia="x-none"/>
        </w:rPr>
        <w:t xml:space="preserve"> of </w:t>
      </w:r>
      <w:r w:rsidR="00683E46">
        <w:rPr>
          <w:lang w:eastAsia="x-none"/>
        </w:rPr>
        <w:t xml:space="preserve">active </w:t>
      </w:r>
      <w:r>
        <w:rPr>
          <w:lang w:eastAsia="x-none"/>
        </w:rPr>
        <w:t>NR R15 BWPs at given time</w:t>
      </w:r>
      <w:r w:rsidR="00683E46">
        <w:rPr>
          <w:lang w:eastAsia="x-none"/>
        </w:rPr>
        <w:t xml:space="preserve"> in a serving-cell</w:t>
      </w:r>
      <w:r>
        <w:rPr>
          <w:lang w:eastAsia="x-none"/>
        </w:rPr>
        <w:t>.</w:t>
      </w:r>
    </w:p>
    <w:p w14:paraId="2042AB25" w14:textId="38AC6B41" w:rsidR="003450BD" w:rsidRDefault="003450BD" w:rsidP="003450BD">
      <w:pPr>
        <w:overflowPunct/>
        <w:autoSpaceDE/>
        <w:autoSpaceDN/>
        <w:adjustRightInd/>
        <w:spacing w:after="0"/>
        <w:textAlignment w:val="auto"/>
        <w:rPr>
          <w:lang w:eastAsia="x-none"/>
        </w:rPr>
      </w:pPr>
    </w:p>
    <w:p w14:paraId="71AD5A15" w14:textId="32DD515C" w:rsidR="003450BD" w:rsidRDefault="003450BD" w:rsidP="003450BD">
      <w:pPr>
        <w:overflowPunct/>
        <w:autoSpaceDE/>
        <w:autoSpaceDN/>
        <w:adjustRightInd/>
        <w:spacing w:after="0"/>
        <w:textAlignment w:val="auto"/>
        <w:rPr>
          <w:lang w:eastAsia="x-none"/>
        </w:rPr>
      </w:pPr>
      <w:r w:rsidRPr="003450BD">
        <w:rPr>
          <w:b/>
          <w:lang w:eastAsia="x-none"/>
        </w:rPr>
        <w:t>Option 2:</w:t>
      </w:r>
      <w:r>
        <w:rPr>
          <w:lang w:eastAsia="x-none"/>
        </w:rPr>
        <w:t xml:space="preserve"> </w:t>
      </w:r>
      <w:r>
        <w:t>serving cell from gNB point of view spans more than 20MHz.</w:t>
      </w:r>
      <w:r w:rsidRPr="003450BD">
        <w:rPr>
          <w:lang w:eastAsia="x-none"/>
        </w:rPr>
        <w:t xml:space="preserve"> </w:t>
      </w:r>
      <w:r>
        <w:rPr>
          <w:lang w:eastAsia="x-none"/>
        </w:rPr>
        <w:t>Multiple BWPs are configured in gNB carrier which can be overlapping or non-overlapping</w:t>
      </w:r>
      <w:r w:rsidR="00361700">
        <w:rPr>
          <w:lang w:eastAsia="x-none"/>
        </w:rPr>
        <w:t>, one NR R15 BWP is active at given time</w:t>
      </w:r>
      <w:r>
        <w:rPr>
          <w:lang w:eastAsia="x-none"/>
        </w:rPr>
        <w:t>. gNB/UE may transmit only if all sub-bands are accessible. This means that BWPs operate the same way as in licensed NR R15</w:t>
      </w:r>
      <w:r w:rsidR="00361700">
        <w:rPr>
          <w:lang w:eastAsia="x-none"/>
        </w:rPr>
        <w:t>.</w:t>
      </w:r>
    </w:p>
    <w:p w14:paraId="0D2CB8B6" w14:textId="77777777" w:rsidR="003450BD" w:rsidRDefault="003450BD" w:rsidP="003450BD">
      <w:pPr>
        <w:overflowPunct/>
        <w:autoSpaceDE/>
        <w:autoSpaceDN/>
        <w:adjustRightInd/>
        <w:spacing w:after="0"/>
        <w:textAlignment w:val="auto"/>
        <w:rPr>
          <w:lang w:eastAsia="x-none"/>
        </w:rPr>
      </w:pPr>
    </w:p>
    <w:p w14:paraId="209C4285" w14:textId="3F5C9E7E" w:rsidR="00050EBC" w:rsidRDefault="003450BD" w:rsidP="003450BD">
      <w:pPr>
        <w:jc w:val="both"/>
      </w:pPr>
      <w:r w:rsidRPr="00361700">
        <w:rPr>
          <w:b/>
          <w:lang w:eastAsia="x-none"/>
        </w:rPr>
        <w:t>Option 3:</w:t>
      </w:r>
      <w:r>
        <w:rPr>
          <w:lang w:eastAsia="x-none"/>
        </w:rPr>
        <w:t xml:space="preserve"> </w:t>
      </w:r>
      <w:r w:rsidR="00361700">
        <w:t>this option is the same as Option 2, except, gNB/UE may transmit also on subset of sub-bands, if for some sub-bands</w:t>
      </w:r>
      <w:r w:rsidR="00050EBC">
        <w:t>, within the active BWP,</w:t>
      </w:r>
      <w:r w:rsidR="00361700">
        <w:t xml:space="preserve"> LBT outcome was negative. In this cas</w:t>
      </w:r>
      <w:r w:rsidR="00050EBC">
        <w:t>e, transmitter</w:t>
      </w:r>
      <w:r w:rsidR="00361700">
        <w:t xml:space="preserve"> has to make su</w:t>
      </w:r>
      <w:r w:rsidR="00050EBC">
        <w:t xml:space="preserve">re that it does not interfere the sub-bands with negative LBT. </w:t>
      </w:r>
    </w:p>
    <w:p w14:paraId="5F390C1B" w14:textId="33B81F3D" w:rsidR="00A04F78" w:rsidRDefault="00E82A42" w:rsidP="003450BD">
      <w:pPr>
        <w:jc w:val="both"/>
      </w:pPr>
      <w:r>
        <w:t xml:space="preserve">Note: </w:t>
      </w:r>
      <w:r w:rsidR="00A04F78">
        <w:t>The subset of</w:t>
      </w:r>
      <w:r>
        <w:t xml:space="preserve"> transmitted</w:t>
      </w:r>
      <w:r w:rsidR="00A04F78">
        <w:t xml:space="preserve"> sub-bands</w:t>
      </w:r>
      <w:r w:rsidR="001748A8">
        <w:t xml:space="preserve"> in Option 3</w:t>
      </w:r>
      <w:r w:rsidR="00A04F78">
        <w:t xml:space="preserve"> can be non-contiguous or contiguous.  </w:t>
      </w:r>
    </w:p>
    <w:p w14:paraId="2DEF38D4" w14:textId="659AFCEB" w:rsidR="00D84298" w:rsidRDefault="00D84298" w:rsidP="00BC4958">
      <w:pPr>
        <w:spacing w:after="0"/>
        <w:jc w:val="both"/>
      </w:pPr>
    </w:p>
    <w:p w14:paraId="05E5BC4F" w14:textId="36F0EA04" w:rsidR="00050EBC" w:rsidRDefault="00050EBC" w:rsidP="00BC4958">
      <w:pPr>
        <w:spacing w:after="0"/>
        <w:jc w:val="both"/>
      </w:pPr>
      <w:r>
        <w:t>The following can be observed</w:t>
      </w:r>
      <w:r w:rsidR="00E82A42">
        <w:t xml:space="preserve"> from above</w:t>
      </w:r>
      <w:r>
        <w:t>:</w:t>
      </w:r>
    </w:p>
    <w:p w14:paraId="3229B835" w14:textId="3187F06F" w:rsidR="00050EBC" w:rsidRPr="00050EBC" w:rsidRDefault="00050EBC" w:rsidP="00DF3E41">
      <w:pPr>
        <w:jc w:val="both"/>
        <w:rPr>
          <w:i/>
        </w:rPr>
      </w:pPr>
      <w:r w:rsidRPr="00050EBC">
        <w:rPr>
          <w:b/>
          <w:i/>
        </w:rPr>
        <w:t>Observation 1:</w:t>
      </w:r>
      <w:r w:rsidRPr="00050EBC">
        <w:rPr>
          <w:i/>
        </w:rPr>
        <w:t xml:space="preserve"> </w:t>
      </w:r>
      <w:r w:rsidR="00DF3E41">
        <w:rPr>
          <w:i/>
        </w:rPr>
        <w:t xml:space="preserve">NR-U BWP </w:t>
      </w:r>
      <w:r w:rsidRPr="00050EBC">
        <w:rPr>
          <w:i/>
        </w:rPr>
        <w:t xml:space="preserve">Option 2 and Option 3 are based on single active </w:t>
      </w:r>
      <w:r>
        <w:rPr>
          <w:i/>
        </w:rPr>
        <w:t xml:space="preserve">NR R15 </w:t>
      </w:r>
      <w:r w:rsidRPr="00050EBC">
        <w:rPr>
          <w:i/>
        </w:rPr>
        <w:t>BWP</w:t>
      </w:r>
      <w:r w:rsidR="00A04F78">
        <w:rPr>
          <w:i/>
        </w:rPr>
        <w:t xml:space="preserve"> in a serving cell.</w:t>
      </w:r>
      <w:r w:rsidRPr="00050EBC">
        <w:rPr>
          <w:i/>
        </w:rPr>
        <w:t xml:space="preserve"> </w:t>
      </w:r>
      <w:r w:rsidR="00A04F78">
        <w:rPr>
          <w:i/>
        </w:rPr>
        <w:t>I</w:t>
      </w:r>
      <w:r w:rsidRPr="00050EBC">
        <w:rPr>
          <w:i/>
        </w:rPr>
        <w:t>n Option 3 (unlike in Option 2) transmission BW varies as outcome of LBT</w:t>
      </w:r>
      <w:r>
        <w:rPr>
          <w:i/>
        </w:rPr>
        <w:t>. UE receives on the single active BWP</w:t>
      </w:r>
      <w:r w:rsidR="00520930">
        <w:rPr>
          <w:i/>
        </w:rPr>
        <w:t xml:space="preserve"> within the transmission BW</w:t>
      </w:r>
      <w:r w:rsidR="00A04F78">
        <w:rPr>
          <w:i/>
        </w:rPr>
        <w:t>.</w:t>
      </w:r>
    </w:p>
    <w:p w14:paraId="3C577143" w14:textId="1DFCE3F7" w:rsidR="00050EBC" w:rsidRPr="009030A9" w:rsidRDefault="00050EBC" w:rsidP="009030A9">
      <w:pPr>
        <w:spacing w:after="0"/>
        <w:jc w:val="both"/>
        <w:rPr>
          <w:i/>
          <w:iCs/>
        </w:rPr>
      </w:pPr>
      <w:r w:rsidRPr="008D463B">
        <w:rPr>
          <w:b/>
          <w:bCs/>
          <w:i/>
          <w:iCs/>
        </w:rPr>
        <w:t>Observation 2:</w:t>
      </w:r>
      <w:r>
        <w:t xml:space="preserve"> </w:t>
      </w:r>
      <w:r w:rsidR="00DF3E41" w:rsidRPr="008D463B">
        <w:rPr>
          <w:i/>
          <w:iCs/>
        </w:rPr>
        <w:t xml:space="preserve">NR-U BWP </w:t>
      </w:r>
      <w:r w:rsidRPr="008D463B">
        <w:rPr>
          <w:i/>
          <w:iCs/>
        </w:rPr>
        <w:t>Option 1a and 1b operate with multiple active NR R15 BWPs</w:t>
      </w:r>
      <w:r w:rsidR="00A04F78" w:rsidRPr="008D463B">
        <w:rPr>
          <w:i/>
          <w:iCs/>
        </w:rPr>
        <w:t xml:space="preserve"> in a single serving cell</w:t>
      </w:r>
      <w:r w:rsidRPr="008D463B">
        <w:rPr>
          <w:i/>
          <w:iCs/>
        </w:rPr>
        <w:t xml:space="preserve">. In option 1a, multiple active BWPs are received by a UE at the given time. In option </w:t>
      </w:r>
      <w:r w:rsidR="00EE1FD1" w:rsidRPr="008D463B">
        <w:rPr>
          <w:i/>
          <w:iCs/>
        </w:rPr>
        <w:t>1</w:t>
      </w:r>
      <w:r w:rsidRPr="008D463B">
        <w:rPr>
          <w:i/>
          <w:iCs/>
        </w:rPr>
        <w:t xml:space="preserve">b, only one active BWP is received given the LBT outcome. </w:t>
      </w:r>
    </w:p>
    <w:p w14:paraId="199D82E6" w14:textId="1DD89CB4" w:rsidR="00050EBC" w:rsidRDefault="00050EBC" w:rsidP="00BC4958">
      <w:pPr>
        <w:spacing w:after="0"/>
        <w:jc w:val="both"/>
      </w:pPr>
    </w:p>
    <w:p w14:paraId="77467427" w14:textId="4143E655" w:rsidR="00627991" w:rsidRPr="00ED270C" w:rsidRDefault="00627991" w:rsidP="00627991">
      <w:pPr>
        <w:pStyle w:val="Heading2"/>
        <w:rPr>
          <w:sz w:val="28"/>
          <w:szCs w:val="28"/>
        </w:rPr>
      </w:pPr>
      <w:r w:rsidRPr="00627991">
        <w:rPr>
          <w:sz w:val="28"/>
          <w:szCs w:val="28"/>
        </w:rPr>
        <w:t>Challenges in NR-U Wideband Operation</w:t>
      </w:r>
    </w:p>
    <w:p w14:paraId="32699AE6" w14:textId="7FACB9FE" w:rsidR="00627991" w:rsidRDefault="00627991" w:rsidP="00627991">
      <w:pPr>
        <w:jc w:val="both"/>
        <w:rPr>
          <w:rFonts w:cs="Arial"/>
          <w:color w:val="000000" w:themeColor="text1"/>
        </w:rPr>
      </w:pPr>
      <w:r w:rsidRPr="003844DF">
        <w:rPr>
          <w:rFonts w:cs="Arial"/>
          <w:color w:val="000000" w:themeColor="text1"/>
        </w:rPr>
        <w:t xml:space="preserve">Figure </w:t>
      </w:r>
      <w:r w:rsidR="004A458D">
        <w:rPr>
          <w:rFonts w:cs="Arial"/>
          <w:color w:val="000000" w:themeColor="text1"/>
        </w:rPr>
        <w:t>1</w:t>
      </w:r>
      <w:r w:rsidR="004A458D" w:rsidRPr="00615FB7">
        <w:rPr>
          <w:rFonts w:cs="Arial"/>
          <w:color w:val="000000" w:themeColor="text1"/>
        </w:rPr>
        <w:t xml:space="preserve"> </w:t>
      </w:r>
      <w:r w:rsidRPr="00615FB7">
        <w:rPr>
          <w:rFonts w:cs="Arial"/>
          <w:color w:val="000000" w:themeColor="text1"/>
        </w:rPr>
        <w:t xml:space="preserve">shows </w:t>
      </w:r>
      <w:r>
        <w:rPr>
          <w:rFonts w:cs="Arial"/>
          <w:color w:val="000000" w:themeColor="text1"/>
        </w:rPr>
        <w:t xml:space="preserve">an example of </w:t>
      </w:r>
      <w:r w:rsidRPr="00615FB7">
        <w:rPr>
          <w:rFonts w:cs="Arial"/>
          <w:color w:val="000000" w:themeColor="text1"/>
        </w:rPr>
        <w:t xml:space="preserve">transmission bandwidth combinations for gNB after sub-band specific LBT. This example assumes 80 MHz bandwidth, and </w:t>
      </w:r>
      <w:r w:rsidRPr="000A1828">
        <w:rPr>
          <w:rFonts w:cs="Arial"/>
          <w:b/>
          <w:color w:val="000000" w:themeColor="text1"/>
        </w:rPr>
        <w:t>contiguous</w:t>
      </w:r>
      <w:r w:rsidRPr="00615FB7">
        <w:rPr>
          <w:rFonts w:cs="Arial"/>
          <w:color w:val="000000" w:themeColor="text1"/>
        </w:rPr>
        <w:t xml:space="preserve"> allocation of 20 MHz sub-bands.</w:t>
      </w:r>
    </w:p>
    <w:p w14:paraId="05204941" w14:textId="77777777" w:rsidR="00627991" w:rsidRDefault="00627991" w:rsidP="00627991">
      <w:pPr>
        <w:keepNext/>
        <w:ind w:left="360"/>
        <w:jc w:val="center"/>
      </w:pPr>
      <w:r w:rsidRPr="002B42AA">
        <w:rPr>
          <w:noProof/>
          <w:color w:val="000000" w:themeColor="text1"/>
        </w:rPr>
        <w:drawing>
          <wp:inline distT="0" distB="0" distL="0" distR="0" wp14:anchorId="18C0331A" wp14:editId="2075265E">
            <wp:extent cx="2286000" cy="2298065"/>
            <wp:effectExtent l="0" t="0" r="0" b="698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286000" cy="2298065"/>
                    </a:xfrm>
                    <a:prstGeom prst="rect">
                      <a:avLst/>
                    </a:prstGeom>
                    <a:noFill/>
                    <a:ln>
                      <a:noFill/>
                    </a:ln>
                  </pic:spPr>
                </pic:pic>
              </a:graphicData>
            </a:graphic>
          </wp:inline>
        </w:drawing>
      </w:r>
    </w:p>
    <w:p w14:paraId="42A6EC33" w14:textId="43D55C3E" w:rsidR="00627991" w:rsidRDefault="00627991" w:rsidP="00627991">
      <w:pPr>
        <w:pStyle w:val="Caption"/>
        <w:jc w:val="center"/>
        <w:rPr>
          <w:rFonts w:cs="Arial"/>
          <w:color w:val="000000" w:themeColor="text1"/>
        </w:rPr>
      </w:pPr>
      <w:r>
        <w:t xml:space="preserve">Figure </w:t>
      </w:r>
      <w:r>
        <w:fldChar w:fldCharType="begin"/>
      </w:r>
      <w:r>
        <w:instrText xml:space="preserve"> SEQ Figure \* ARABIC </w:instrText>
      </w:r>
      <w:r>
        <w:fldChar w:fldCharType="separate"/>
      </w:r>
      <w:r w:rsidR="004A458D">
        <w:rPr>
          <w:noProof/>
        </w:rPr>
        <w:t>1</w:t>
      </w:r>
      <w:r>
        <w:fldChar w:fldCharType="end"/>
      </w:r>
      <w:r>
        <w:t xml:space="preserve"> Example </w:t>
      </w:r>
      <w:r w:rsidRPr="00A34329">
        <w:t xml:space="preserve">combinations of contiguous transmission BW for gNB, carrier </w:t>
      </w:r>
      <w:r>
        <w:t>channel BW = 80 MHz, sub-band size</w:t>
      </w:r>
      <w:r w:rsidRPr="00A34329">
        <w:t xml:space="preserve"> = 20 MHz.</w:t>
      </w:r>
    </w:p>
    <w:p w14:paraId="71561943" w14:textId="0F1422B1" w:rsidR="00627991" w:rsidRDefault="00627991" w:rsidP="00627991">
      <w:pPr>
        <w:jc w:val="both"/>
        <w:rPr>
          <w:rFonts w:cs="Arial"/>
          <w:color w:val="000000" w:themeColor="text1"/>
        </w:rPr>
      </w:pPr>
    </w:p>
    <w:p w14:paraId="60A22F49" w14:textId="45F41823" w:rsidR="00627991" w:rsidRPr="0048748C" w:rsidRDefault="00627991" w:rsidP="00627991">
      <w:pPr>
        <w:jc w:val="both"/>
        <w:rPr>
          <w:rFonts w:cs="Arial"/>
          <w:color w:val="000000" w:themeColor="text1"/>
        </w:rPr>
      </w:pPr>
      <w:r w:rsidRPr="008E67FC">
        <w:rPr>
          <w:rFonts w:cs="Arial"/>
          <w:b/>
          <w:color w:val="000000" w:themeColor="text1"/>
        </w:rPr>
        <w:t>Observation</w:t>
      </w:r>
      <w:r>
        <w:rPr>
          <w:rFonts w:cs="Arial"/>
          <w:b/>
          <w:color w:val="000000" w:themeColor="text1"/>
        </w:rPr>
        <w:t xml:space="preserve"> </w:t>
      </w:r>
      <w:r w:rsidR="004A458D">
        <w:rPr>
          <w:rFonts w:cs="Arial"/>
          <w:b/>
          <w:color w:val="000000" w:themeColor="text1"/>
        </w:rPr>
        <w:t>3</w:t>
      </w:r>
      <w:r w:rsidRPr="008E67FC">
        <w:rPr>
          <w:rFonts w:cs="Arial"/>
          <w:b/>
          <w:i/>
          <w:color w:val="000000" w:themeColor="text1"/>
        </w:rPr>
        <w:t>:</w:t>
      </w:r>
      <w:r w:rsidRPr="008E67FC">
        <w:rPr>
          <w:rFonts w:cs="Arial"/>
          <w:i/>
          <w:color w:val="000000" w:themeColor="text1"/>
        </w:rPr>
        <w:t xml:space="preserve"> </w:t>
      </w:r>
      <w:r>
        <w:rPr>
          <w:rFonts w:cs="Arial"/>
          <w:i/>
          <w:color w:val="000000" w:themeColor="text1"/>
        </w:rPr>
        <w:t xml:space="preserve">Configuring </w:t>
      </w:r>
      <w:r w:rsidRPr="008E67FC">
        <w:rPr>
          <w:rFonts w:cs="Arial"/>
          <w:i/>
          <w:color w:val="000000" w:themeColor="text1"/>
        </w:rPr>
        <w:t>NR BWP for each combination of channels</w:t>
      </w:r>
      <w:r w:rsidR="004A458D">
        <w:rPr>
          <w:rFonts w:cs="Arial"/>
          <w:i/>
          <w:color w:val="000000" w:themeColor="text1"/>
        </w:rPr>
        <w:t xml:space="preserve"> (Option 1</w:t>
      </w:r>
      <w:r w:rsidR="00A04F78">
        <w:rPr>
          <w:rFonts w:cs="Arial"/>
          <w:i/>
          <w:color w:val="000000" w:themeColor="text1"/>
        </w:rPr>
        <w:t>)</w:t>
      </w:r>
      <w:r w:rsidRPr="008E67FC">
        <w:rPr>
          <w:rFonts w:cs="Arial"/>
          <w:i/>
          <w:color w:val="000000" w:themeColor="text1"/>
        </w:rPr>
        <w:t xml:space="preserve"> would result in large number (e.g. 10) of BWPs</w:t>
      </w:r>
      <w:r>
        <w:rPr>
          <w:rFonts w:cs="Arial"/>
          <w:i/>
          <w:color w:val="000000" w:themeColor="text1"/>
        </w:rPr>
        <w:t xml:space="preserve"> to be configured</w:t>
      </w:r>
      <w:r w:rsidRPr="008E67FC">
        <w:rPr>
          <w:rFonts w:cs="Arial"/>
          <w:i/>
          <w:color w:val="000000" w:themeColor="text1"/>
        </w:rPr>
        <w:t>, while NR R15 support</w:t>
      </w:r>
      <w:r>
        <w:rPr>
          <w:rFonts w:cs="Arial"/>
          <w:i/>
          <w:color w:val="000000" w:themeColor="text1"/>
        </w:rPr>
        <w:t>s only</w:t>
      </w:r>
      <w:r w:rsidRPr="008E67FC">
        <w:rPr>
          <w:rFonts w:cs="Arial"/>
          <w:i/>
          <w:color w:val="000000" w:themeColor="text1"/>
        </w:rPr>
        <w:t xml:space="preserve"> up to 4 BWPs and mandatory feature 6-1 only</w:t>
      </w:r>
      <w:r>
        <w:rPr>
          <w:rFonts w:cs="Arial"/>
          <w:i/>
          <w:color w:val="000000" w:themeColor="text1"/>
        </w:rPr>
        <w:t xml:space="preserve"> up to</w:t>
      </w:r>
      <w:r w:rsidRPr="008E67FC">
        <w:rPr>
          <w:rFonts w:cs="Arial"/>
          <w:i/>
          <w:color w:val="000000" w:themeColor="text1"/>
        </w:rPr>
        <w:t xml:space="preserve"> 2 BWPs.</w:t>
      </w:r>
    </w:p>
    <w:p w14:paraId="5E17C879" w14:textId="09C22BAA" w:rsidR="00A04F78" w:rsidRDefault="00F8404A" w:rsidP="00627991">
      <w:pPr>
        <w:jc w:val="both"/>
        <w:rPr>
          <w:rFonts w:cs="Arial"/>
          <w:color w:val="000000" w:themeColor="text1"/>
        </w:rPr>
      </w:pPr>
      <w:r w:rsidRPr="0048748C">
        <w:rPr>
          <w:rFonts w:cs="Arial"/>
          <w:color w:val="000000" w:themeColor="text1"/>
        </w:rPr>
        <w:t>Furthermore,</w:t>
      </w:r>
      <w:r>
        <w:rPr>
          <w:rFonts w:cs="Arial"/>
          <w:color w:val="000000" w:themeColor="text1"/>
        </w:rPr>
        <w:t xml:space="preserve"> BWP structures and switching of NR R15 has been design</w:t>
      </w:r>
      <w:r w:rsidR="001748A8">
        <w:rPr>
          <w:rFonts w:cs="Arial"/>
          <w:color w:val="000000" w:themeColor="text1"/>
        </w:rPr>
        <w:t>ed</w:t>
      </w:r>
      <w:r>
        <w:rPr>
          <w:rFonts w:cs="Arial"/>
          <w:color w:val="000000" w:themeColor="text1"/>
        </w:rPr>
        <w:t xml:space="preserve"> for power saving purposes. Upon BWP switch, a UE performs RF retuning and loads new BB parameters</w:t>
      </w:r>
      <w:r w:rsidR="00793144">
        <w:rPr>
          <w:rFonts w:cs="Arial"/>
          <w:color w:val="000000" w:themeColor="text1"/>
        </w:rPr>
        <w:t>. This resulting into</w:t>
      </w:r>
      <w:r w:rsidR="001748A8">
        <w:rPr>
          <w:rFonts w:cs="Arial"/>
          <w:color w:val="000000" w:themeColor="text1"/>
        </w:rPr>
        <w:t xml:space="preserve"> up</w:t>
      </w:r>
      <w:r w:rsidR="00793144">
        <w:rPr>
          <w:rFonts w:cs="Arial"/>
          <w:color w:val="000000" w:themeColor="text1"/>
        </w:rPr>
        <w:t xml:space="preserve"> </w:t>
      </w:r>
      <w:r w:rsidR="001748A8">
        <w:rPr>
          <w:rFonts w:cs="Arial"/>
          <w:color w:val="000000" w:themeColor="text1"/>
        </w:rPr>
        <w:t xml:space="preserve">to </w:t>
      </w:r>
      <w:r w:rsidR="00793144">
        <w:rPr>
          <w:rFonts w:cs="Arial"/>
          <w:color w:val="000000" w:themeColor="text1"/>
        </w:rPr>
        <w:t xml:space="preserve">2ms gap </w:t>
      </w:r>
      <w:r w:rsidR="00EE1FD1">
        <w:rPr>
          <w:rFonts w:cs="Arial"/>
          <w:color w:val="000000" w:themeColor="text1"/>
        </w:rPr>
        <w:t>during which</w:t>
      </w:r>
      <w:r w:rsidR="00793144">
        <w:rPr>
          <w:rFonts w:cs="Arial"/>
          <w:color w:val="000000" w:themeColor="text1"/>
        </w:rPr>
        <w:t xml:space="preserve"> UE cannot </w:t>
      </w:r>
      <w:r w:rsidR="001748A8">
        <w:rPr>
          <w:rFonts w:cs="Arial"/>
          <w:color w:val="000000" w:themeColor="text1"/>
        </w:rPr>
        <w:lastRenderedPageBreak/>
        <w:t>receive or transmit</w:t>
      </w:r>
      <w:r>
        <w:rPr>
          <w:rFonts w:cs="Arial"/>
          <w:color w:val="000000" w:themeColor="text1"/>
        </w:rPr>
        <w:t>. We think that also NR-U should benefit from power saving feature offered by NR R15 BWP</w:t>
      </w:r>
      <w:r w:rsidR="00793144">
        <w:rPr>
          <w:rFonts w:cs="Arial"/>
          <w:color w:val="000000" w:themeColor="text1"/>
        </w:rPr>
        <w:t>. And on top of NR R15 BWP, NR-U</w:t>
      </w:r>
      <w:r>
        <w:rPr>
          <w:rFonts w:cs="Arial"/>
          <w:color w:val="000000" w:themeColor="text1"/>
        </w:rPr>
        <w:t xml:space="preserve"> </w:t>
      </w:r>
      <w:r w:rsidR="00793144">
        <w:rPr>
          <w:rFonts w:cs="Arial"/>
          <w:color w:val="000000" w:themeColor="text1"/>
        </w:rPr>
        <w:t>should</w:t>
      </w:r>
      <w:r>
        <w:rPr>
          <w:rFonts w:cs="Arial"/>
          <w:color w:val="000000" w:themeColor="text1"/>
        </w:rPr>
        <w:t xml:space="preserve"> </w:t>
      </w:r>
      <w:r w:rsidR="00793144">
        <w:rPr>
          <w:rFonts w:cs="Arial"/>
          <w:color w:val="000000" w:themeColor="text1"/>
        </w:rPr>
        <w:t>design independent featu</w:t>
      </w:r>
      <w:r w:rsidR="00AF75C0">
        <w:rPr>
          <w:rFonts w:cs="Arial"/>
          <w:color w:val="000000" w:themeColor="text1"/>
        </w:rPr>
        <w:t>re of agile adaptation of TX bandwidth</w:t>
      </w:r>
      <w:r w:rsidR="00793144">
        <w:rPr>
          <w:rFonts w:cs="Arial"/>
          <w:color w:val="000000" w:themeColor="text1"/>
        </w:rPr>
        <w:t xml:space="preserve"> due to LBT. </w:t>
      </w:r>
      <w:r w:rsidR="000A1828">
        <w:rPr>
          <w:rFonts w:cs="Arial"/>
          <w:color w:val="000000" w:themeColor="text1"/>
        </w:rPr>
        <w:t xml:space="preserve">The BB parameters are BWP specific in NR R15, reception of multiple active BWPs would require multiple BBs in a serving cell in case of Option 1a/1b or BB reconfiguration as outcome of LBT, which is the main part of BWP switching delay of 0.6/2ms in NR R15.  </w:t>
      </w:r>
    </w:p>
    <w:p w14:paraId="3869BF1B" w14:textId="29BDB39B" w:rsidR="00A04F78" w:rsidRPr="0048748C" w:rsidRDefault="00A04F78" w:rsidP="00A04F78">
      <w:pPr>
        <w:jc w:val="both"/>
        <w:rPr>
          <w:rFonts w:cs="Arial"/>
          <w:color w:val="000000" w:themeColor="text1"/>
        </w:rPr>
      </w:pPr>
      <w:r w:rsidRPr="002B53A6">
        <w:rPr>
          <w:rFonts w:cs="Arial"/>
          <w:b/>
          <w:i/>
          <w:color w:val="000000" w:themeColor="text1"/>
        </w:rPr>
        <w:t xml:space="preserve">Observation </w:t>
      </w:r>
      <w:r w:rsidR="004A458D" w:rsidRPr="002B53A6">
        <w:rPr>
          <w:rFonts w:cs="Arial"/>
          <w:b/>
          <w:i/>
          <w:color w:val="000000" w:themeColor="text1"/>
        </w:rPr>
        <w:t>4</w:t>
      </w:r>
      <w:r w:rsidRPr="002B53A6">
        <w:rPr>
          <w:rFonts w:cs="Arial"/>
          <w:b/>
          <w:i/>
          <w:color w:val="000000" w:themeColor="text1"/>
        </w:rPr>
        <w:t>:</w:t>
      </w:r>
      <w:r w:rsidRPr="008E67FC">
        <w:rPr>
          <w:rFonts w:cs="Arial"/>
          <w:i/>
          <w:color w:val="000000" w:themeColor="text1"/>
        </w:rPr>
        <w:t xml:space="preserve"> </w:t>
      </w:r>
      <w:r w:rsidR="000A1828">
        <w:rPr>
          <w:rFonts w:cs="Arial"/>
          <w:i/>
          <w:color w:val="000000" w:themeColor="text1"/>
        </w:rPr>
        <w:t>Option 1a would require multiple BBs per serving cell and Option 1b would require multiple BBs or BB adaptation as outcome of LBT</w:t>
      </w:r>
      <w:r w:rsidRPr="008E67FC">
        <w:rPr>
          <w:rFonts w:cs="Arial"/>
          <w:i/>
          <w:color w:val="000000" w:themeColor="text1"/>
        </w:rPr>
        <w:t>.</w:t>
      </w:r>
      <w:r w:rsidR="000A1828">
        <w:rPr>
          <w:rFonts w:cs="Arial"/>
          <w:i/>
          <w:color w:val="000000" w:themeColor="text1"/>
        </w:rPr>
        <w:t xml:space="preserve"> Option 2/3 can be implemented with a single BB. </w:t>
      </w:r>
    </w:p>
    <w:p w14:paraId="0C7297BB" w14:textId="2A6495D4" w:rsidR="00F8404A" w:rsidRPr="0048748C" w:rsidRDefault="00F8404A" w:rsidP="009766A5">
      <w:pPr>
        <w:jc w:val="both"/>
        <w:rPr>
          <w:rFonts w:cs="Arial"/>
          <w:i/>
          <w:color w:val="000000" w:themeColor="text1"/>
        </w:rPr>
      </w:pPr>
      <w:r w:rsidRPr="0048748C">
        <w:rPr>
          <w:rFonts w:cs="Arial"/>
          <w:b/>
          <w:i/>
          <w:color w:val="000000" w:themeColor="text1"/>
        </w:rPr>
        <w:t>Proposal</w:t>
      </w:r>
      <w:r w:rsidR="008F0BCD">
        <w:rPr>
          <w:rFonts w:cs="Arial"/>
          <w:b/>
          <w:i/>
          <w:color w:val="000000" w:themeColor="text1"/>
        </w:rPr>
        <w:t xml:space="preserve"> </w:t>
      </w:r>
      <w:r w:rsidR="00A04F78">
        <w:rPr>
          <w:rFonts w:cs="Arial"/>
          <w:b/>
          <w:i/>
          <w:color w:val="000000" w:themeColor="text1"/>
        </w:rPr>
        <w:t>1</w:t>
      </w:r>
      <w:r w:rsidRPr="0048748C">
        <w:rPr>
          <w:rFonts w:cs="Arial"/>
          <w:b/>
          <w:i/>
          <w:color w:val="000000" w:themeColor="text1"/>
        </w:rPr>
        <w:t>:</w:t>
      </w:r>
      <w:r w:rsidRPr="0048748C">
        <w:rPr>
          <w:rFonts w:cs="Arial"/>
          <w:i/>
          <w:color w:val="000000" w:themeColor="text1"/>
        </w:rPr>
        <w:t xml:space="preserve"> </w:t>
      </w:r>
      <w:r w:rsidR="00793144" w:rsidRPr="0048748C">
        <w:rPr>
          <w:rFonts w:cs="Arial"/>
          <w:i/>
          <w:color w:val="000000" w:themeColor="text1"/>
        </w:rPr>
        <w:t>NR-U d</w:t>
      </w:r>
      <w:r w:rsidRPr="0048748C">
        <w:rPr>
          <w:rFonts w:cs="Arial"/>
          <w:i/>
          <w:color w:val="000000" w:themeColor="text1"/>
        </w:rPr>
        <w:t>esign</w:t>
      </w:r>
      <w:r w:rsidR="00793144" w:rsidRPr="0048748C">
        <w:rPr>
          <w:rFonts w:cs="Arial"/>
          <w:i/>
          <w:color w:val="000000" w:themeColor="text1"/>
        </w:rPr>
        <w:t xml:space="preserve"> of</w:t>
      </w:r>
      <w:r w:rsidRPr="0048748C">
        <w:rPr>
          <w:rFonts w:cs="Arial"/>
          <w:i/>
          <w:color w:val="000000" w:themeColor="text1"/>
        </w:rPr>
        <w:t xml:space="preserve"> </w:t>
      </w:r>
      <w:r w:rsidR="00793144" w:rsidRPr="0048748C">
        <w:rPr>
          <w:rFonts w:cs="Arial"/>
          <w:i/>
          <w:color w:val="000000" w:themeColor="text1"/>
        </w:rPr>
        <w:t xml:space="preserve">agile </w:t>
      </w:r>
      <w:r w:rsidRPr="0048748C">
        <w:rPr>
          <w:rFonts w:cs="Arial"/>
          <w:i/>
          <w:color w:val="000000" w:themeColor="text1"/>
        </w:rPr>
        <w:t>T</w:t>
      </w:r>
      <w:r w:rsidR="00AF75C0">
        <w:rPr>
          <w:rFonts w:cs="Arial"/>
          <w:i/>
          <w:color w:val="000000" w:themeColor="text1"/>
        </w:rPr>
        <w:t>X</w:t>
      </w:r>
      <w:r w:rsidRPr="0048748C">
        <w:rPr>
          <w:rFonts w:cs="Arial"/>
          <w:i/>
          <w:color w:val="000000" w:themeColor="text1"/>
        </w:rPr>
        <w:t xml:space="preserve"> </w:t>
      </w:r>
      <w:r w:rsidR="00AF75C0">
        <w:rPr>
          <w:rFonts w:cs="Arial"/>
          <w:i/>
          <w:color w:val="000000" w:themeColor="text1"/>
        </w:rPr>
        <w:t>bandwidth</w:t>
      </w:r>
      <w:r w:rsidRPr="0048748C">
        <w:rPr>
          <w:rFonts w:cs="Arial"/>
          <w:i/>
          <w:color w:val="000000" w:themeColor="text1"/>
        </w:rPr>
        <w:t xml:space="preserve"> adaptation due to LBT</w:t>
      </w:r>
      <w:r w:rsidR="00793144" w:rsidRPr="0048748C">
        <w:rPr>
          <w:rFonts w:cs="Arial"/>
          <w:i/>
          <w:color w:val="000000" w:themeColor="text1"/>
        </w:rPr>
        <w:t xml:space="preserve"> operates independently</w:t>
      </w:r>
      <w:r w:rsidR="00854CCF">
        <w:rPr>
          <w:rFonts w:cs="Arial"/>
          <w:i/>
          <w:color w:val="000000" w:themeColor="text1"/>
        </w:rPr>
        <w:t xml:space="preserve"> of</w:t>
      </w:r>
      <w:r w:rsidR="00A04F78">
        <w:rPr>
          <w:rFonts w:cs="Arial"/>
          <w:i/>
          <w:color w:val="000000" w:themeColor="text1"/>
        </w:rPr>
        <w:t>/on top</w:t>
      </w:r>
      <w:r w:rsidR="00793144" w:rsidRPr="0048748C">
        <w:rPr>
          <w:rFonts w:cs="Arial"/>
          <w:i/>
          <w:color w:val="000000" w:themeColor="text1"/>
        </w:rPr>
        <w:t xml:space="preserve"> of NR R15 BWP </w:t>
      </w:r>
      <w:r w:rsidR="00A04F78">
        <w:rPr>
          <w:rFonts w:cs="Arial"/>
          <w:i/>
          <w:color w:val="000000" w:themeColor="text1"/>
        </w:rPr>
        <w:t>adaptation</w:t>
      </w:r>
      <w:r w:rsidR="000A1828">
        <w:rPr>
          <w:rFonts w:cs="Arial"/>
          <w:i/>
          <w:color w:val="000000" w:themeColor="text1"/>
        </w:rPr>
        <w:t xml:space="preserve"> (Option 3)</w:t>
      </w:r>
      <w:r w:rsidR="00793144" w:rsidRPr="0048748C">
        <w:rPr>
          <w:rFonts w:cs="Arial"/>
          <w:i/>
          <w:color w:val="000000" w:themeColor="text1"/>
        </w:rPr>
        <w:t xml:space="preserve"> </w:t>
      </w:r>
      <w:r w:rsidRPr="0048748C">
        <w:rPr>
          <w:rFonts w:cs="Arial"/>
          <w:i/>
          <w:color w:val="000000" w:themeColor="text1"/>
        </w:rPr>
        <w:t xml:space="preserve">   </w:t>
      </w:r>
    </w:p>
    <w:p w14:paraId="796707CD" w14:textId="4263DF19" w:rsidR="009766A5" w:rsidRDefault="009766A5" w:rsidP="009766A5">
      <w:pPr>
        <w:jc w:val="both"/>
        <w:rPr>
          <w:rFonts w:cs="Arial"/>
          <w:color w:val="000000" w:themeColor="text1"/>
        </w:rPr>
      </w:pPr>
      <w:r>
        <w:rPr>
          <w:rFonts w:cs="Arial"/>
          <w:color w:val="000000" w:themeColor="text1"/>
        </w:rPr>
        <w:t>In the following, we discuss the challenges related to LBT-dependent transmission bandwidth adaptation both from gNB and UE point of view.</w:t>
      </w:r>
    </w:p>
    <w:p w14:paraId="2EE853FD" w14:textId="6C32AAFC" w:rsidR="00A446E3" w:rsidRPr="00AF75C0" w:rsidRDefault="00A446E3" w:rsidP="00AF75C0">
      <w:pPr>
        <w:pStyle w:val="Heading2"/>
      </w:pPr>
      <w:r w:rsidRPr="00AF75C0">
        <w:t>LBT operation for wideband carriers</w:t>
      </w:r>
    </w:p>
    <w:p w14:paraId="2CE05942" w14:textId="7B310E11" w:rsidR="00A446E3" w:rsidRPr="00665EA8" w:rsidRDefault="00A446E3" w:rsidP="00A446E3">
      <w:pPr>
        <w:jc w:val="both"/>
        <w:rPr>
          <w:rFonts w:cs="Arial"/>
          <w:color w:val="000000" w:themeColor="text1"/>
        </w:rPr>
      </w:pPr>
      <w:r>
        <w:rPr>
          <w:rFonts w:cs="Arial"/>
          <w:color w:val="000000" w:themeColor="text1"/>
        </w:rPr>
        <w:t xml:space="preserve">Listen-before Talk procedures are a prerequisite for operation on unlicensed spectrum at 5GHz bands. Unlike in LTE LAA, in NR-U the carrier bandwidth is larger than the </w:t>
      </w:r>
      <w:r w:rsidR="00DF013B">
        <w:rPr>
          <w:rFonts w:cs="Arial"/>
          <w:color w:val="000000" w:themeColor="text1"/>
        </w:rPr>
        <w:t xml:space="preserve">LBT </w:t>
      </w:r>
      <w:r>
        <w:rPr>
          <w:rFonts w:cs="Arial"/>
          <w:color w:val="000000" w:themeColor="text1"/>
        </w:rPr>
        <w:t>channel bandwidth (i.e. n*20 MHz). Therefore, also frequency domain raster for LBT operation should preferably be less than the whole carrier BW. This likely means that digital filtering is required to be able to perform energy detection separately for different 20 MHz sub</w:t>
      </w:r>
      <w:r w:rsidR="004A458D">
        <w:rPr>
          <w:rFonts w:cs="Arial"/>
          <w:color w:val="000000" w:themeColor="text1"/>
        </w:rPr>
        <w:t>-</w:t>
      </w:r>
      <w:r>
        <w:rPr>
          <w:rFonts w:cs="Arial"/>
          <w:color w:val="000000" w:themeColor="text1"/>
        </w:rPr>
        <w:t xml:space="preserve">bands. RAN4 </w:t>
      </w:r>
      <w:r w:rsidR="004A458D">
        <w:rPr>
          <w:rFonts w:cs="Arial"/>
          <w:color w:val="000000" w:themeColor="text1"/>
        </w:rPr>
        <w:t>shall</w:t>
      </w:r>
      <w:r>
        <w:rPr>
          <w:rFonts w:cs="Arial"/>
          <w:color w:val="000000" w:themeColor="text1"/>
        </w:rPr>
        <w:t xml:space="preserve"> confirm the feasibility and practical constraints related to sub-band (20 MHz) specific LBT, while carrier BW (and a single FFT) spans multiple such sub-bands</w:t>
      </w:r>
      <w:r w:rsidR="00665EA8">
        <w:rPr>
          <w:rFonts w:cs="Arial"/>
          <w:color w:val="000000" w:themeColor="text1"/>
        </w:rPr>
        <w:t>.</w:t>
      </w:r>
      <w:r>
        <w:rPr>
          <w:rFonts w:cs="Arial"/>
          <w:color w:val="000000" w:themeColor="text1"/>
        </w:rPr>
        <w:t xml:space="preserve">    </w:t>
      </w:r>
      <w:r w:rsidRPr="008D463B">
        <w:rPr>
          <w:rFonts w:cs="Arial"/>
          <w:i/>
          <w:iCs/>
          <w:color w:val="000000" w:themeColor="text1"/>
        </w:rPr>
        <w:t xml:space="preserve"> </w:t>
      </w:r>
    </w:p>
    <w:p w14:paraId="6102A1E1" w14:textId="6ED67BDB" w:rsidR="00627991" w:rsidRPr="0048748C" w:rsidRDefault="00627991" w:rsidP="00AF75C0">
      <w:pPr>
        <w:pStyle w:val="Heading2"/>
        <w:rPr>
          <w:rFonts w:cs="Arial"/>
          <w:color w:val="000000" w:themeColor="text1"/>
          <w:u w:val="single"/>
        </w:rPr>
      </w:pPr>
      <w:r w:rsidRPr="0048748C">
        <w:t>gNB /</w:t>
      </w:r>
      <w:r w:rsidR="00520930">
        <w:t xml:space="preserve"> UE</w:t>
      </w:r>
      <w:r w:rsidRPr="0048748C">
        <w:t xml:space="preserve"> transmission</w:t>
      </w:r>
      <w:r w:rsidR="00520930">
        <w:t>s</w:t>
      </w:r>
    </w:p>
    <w:p w14:paraId="671D832F" w14:textId="5C9DE3D1" w:rsidR="00520930" w:rsidRDefault="00520930" w:rsidP="00627991">
      <w:pPr>
        <w:jc w:val="both"/>
        <w:rPr>
          <w:rFonts w:cs="Arial"/>
          <w:color w:val="000000" w:themeColor="text1"/>
        </w:rPr>
      </w:pPr>
      <w:r>
        <w:rPr>
          <w:rFonts w:cs="Arial"/>
          <w:color w:val="000000" w:themeColor="text1"/>
        </w:rPr>
        <w:t>In the following we will focus on DL only</w:t>
      </w:r>
      <w:r w:rsidR="004A458D">
        <w:rPr>
          <w:rFonts w:cs="Arial"/>
          <w:color w:val="000000" w:themeColor="text1"/>
        </w:rPr>
        <w:t xml:space="preserve">, but </w:t>
      </w:r>
      <w:r w:rsidR="002B53A6">
        <w:rPr>
          <w:rFonts w:cs="Arial"/>
          <w:color w:val="000000" w:themeColor="text1"/>
        </w:rPr>
        <w:t>the same conclusion may apply to</w:t>
      </w:r>
      <w:r w:rsidR="004A458D">
        <w:rPr>
          <w:rFonts w:cs="Arial"/>
          <w:color w:val="000000" w:themeColor="text1"/>
        </w:rPr>
        <w:t xml:space="preserve"> UL</w:t>
      </w:r>
      <w:r w:rsidR="002B53A6">
        <w:rPr>
          <w:rFonts w:cs="Arial"/>
          <w:color w:val="000000" w:themeColor="text1"/>
        </w:rPr>
        <w:t xml:space="preserve"> as well</w:t>
      </w:r>
      <w:r>
        <w:rPr>
          <w:rFonts w:cs="Arial"/>
          <w:color w:val="000000" w:themeColor="text1"/>
        </w:rPr>
        <w:t xml:space="preserve">. </w:t>
      </w:r>
      <w:r w:rsidR="00627991" w:rsidRPr="002B42AA">
        <w:rPr>
          <w:rFonts w:cs="Arial"/>
          <w:color w:val="000000" w:themeColor="text1"/>
        </w:rPr>
        <w:t>In Rel</w:t>
      </w:r>
      <w:r w:rsidR="00627991">
        <w:rPr>
          <w:rFonts w:cs="Arial"/>
          <w:color w:val="000000" w:themeColor="text1"/>
        </w:rPr>
        <w:t>-</w:t>
      </w:r>
      <w:r w:rsidR="00627991" w:rsidRPr="002B42AA">
        <w:rPr>
          <w:rFonts w:cs="Arial"/>
          <w:color w:val="000000" w:themeColor="text1"/>
        </w:rPr>
        <w:t>15 NR,</w:t>
      </w:r>
      <w:r w:rsidR="002B53A6">
        <w:rPr>
          <w:rFonts w:cs="Arial"/>
          <w:color w:val="000000" w:themeColor="text1"/>
        </w:rPr>
        <w:t xml:space="preserve"> a</w:t>
      </w:r>
      <w:r w:rsidR="00627991" w:rsidRPr="002B42AA">
        <w:rPr>
          <w:rFonts w:cs="Arial"/>
          <w:color w:val="000000" w:themeColor="text1"/>
        </w:rPr>
        <w:t xml:space="preserve"> gNB was assumed to maintain constant BW</w:t>
      </w:r>
      <w:r w:rsidR="00627991">
        <w:rPr>
          <w:rFonts w:cs="Arial"/>
          <w:color w:val="000000" w:themeColor="text1"/>
        </w:rPr>
        <w:t>,</w:t>
      </w:r>
      <w:r w:rsidR="00627991" w:rsidRPr="002B42AA">
        <w:rPr>
          <w:rFonts w:cs="Arial"/>
          <w:color w:val="000000" w:themeColor="text1"/>
        </w:rPr>
        <w:t xml:space="preserve"> while UE </w:t>
      </w:r>
      <w:r w:rsidR="00627991">
        <w:rPr>
          <w:rFonts w:cs="Arial"/>
          <w:color w:val="000000" w:themeColor="text1"/>
        </w:rPr>
        <w:t xml:space="preserve">may be </w:t>
      </w:r>
      <w:r w:rsidR="00627991" w:rsidRPr="002B42AA">
        <w:rPr>
          <w:rFonts w:cs="Arial"/>
          <w:color w:val="000000" w:themeColor="text1"/>
        </w:rPr>
        <w:t xml:space="preserve">instructed to operate on specific </w:t>
      </w:r>
      <w:r w:rsidR="00627991">
        <w:rPr>
          <w:rFonts w:cs="Arial"/>
          <w:color w:val="000000" w:themeColor="text1"/>
        </w:rPr>
        <w:t xml:space="preserve">part of the gNB </w:t>
      </w:r>
      <w:r w:rsidR="00627991" w:rsidRPr="002B42AA">
        <w:rPr>
          <w:rFonts w:cs="Arial"/>
          <w:color w:val="000000" w:themeColor="text1"/>
        </w:rPr>
        <w:t>BW,</w:t>
      </w:r>
      <w:r w:rsidR="00627991">
        <w:rPr>
          <w:rFonts w:cs="Arial"/>
          <w:color w:val="000000" w:themeColor="text1"/>
        </w:rPr>
        <w:t xml:space="preserve"> i.e.</w:t>
      </w:r>
      <w:r w:rsidR="00627991" w:rsidRPr="002B42AA">
        <w:rPr>
          <w:rFonts w:cs="Arial"/>
          <w:color w:val="000000" w:themeColor="text1"/>
        </w:rPr>
        <w:t xml:space="preserve"> BWP. However, in NR-U, gNB may try to obtain channel access on a wide BW (e.g. 80 MHz) but while performing LBT</w:t>
      </w:r>
      <w:r w:rsidR="00627991">
        <w:rPr>
          <w:rFonts w:cs="Arial"/>
          <w:color w:val="000000" w:themeColor="text1"/>
        </w:rPr>
        <w:t>, the gNB</w:t>
      </w:r>
      <w:r w:rsidR="00627991" w:rsidRPr="002B42AA">
        <w:rPr>
          <w:rFonts w:cs="Arial"/>
          <w:color w:val="000000" w:themeColor="text1"/>
        </w:rPr>
        <w:t xml:space="preserve"> may observe based on sub-band LBT results that it can gain channel access only on a part of the </w:t>
      </w:r>
      <w:r w:rsidR="00627991">
        <w:rPr>
          <w:rFonts w:cs="Arial"/>
          <w:color w:val="000000" w:themeColor="text1"/>
        </w:rPr>
        <w:t xml:space="preserve">carrier, i.e. only on some of the 20 MHz </w:t>
      </w:r>
      <w:r w:rsidR="007852C7">
        <w:rPr>
          <w:rFonts w:cs="Arial"/>
          <w:color w:val="000000" w:themeColor="text1"/>
        </w:rPr>
        <w:t>sub-bands</w:t>
      </w:r>
      <w:r w:rsidR="00627991" w:rsidRPr="002B42AA">
        <w:rPr>
          <w:rFonts w:cs="Arial"/>
          <w:color w:val="000000" w:themeColor="text1"/>
        </w:rPr>
        <w:t xml:space="preserve">. </w:t>
      </w:r>
      <w:r w:rsidR="00037024">
        <w:rPr>
          <w:rFonts w:cs="Arial"/>
          <w:color w:val="000000" w:themeColor="text1"/>
        </w:rPr>
        <w:t xml:space="preserve">This is depicted in </w:t>
      </w:r>
      <w:r w:rsidR="00037024" w:rsidRPr="00EF5E0D">
        <w:rPr>
          <w:rFonts w:cs="Arial"/>
          <w:color w:val="000000" w:themeColor="text1"/>
        </w:rPr>
        <w:t xml:space="preserve">Figure </w:t>
      </w:r>
      <w:r w:rsidR="002B53A6">
        <w:rPr>
          <w:rFonts w:cs="Arial"/>
          <w:color w:val="000000" w:themeColor="text1"/>
        </w:rPr>
        <w:t>2.</w:t>
      </w:r>
      <w:r w:rsidR="00037024">
        <w:rPr>
          <w:rFonts w:cs="Arial"/>
          <w:color w:val="000000" w:themeColor="text1"/>
        </w:rPr>
        <w:t xml:space="preserve"> </w:t>
      </w:r>
      <w:r w:rsidR="00627991">
        <w:rPr>
          <w:rFonts w:cs="Arial"/>
          <w:color w:val="000000" w:themeColor="text1"/>
        </w:rPr>
        <w:t>When operating with a carrier BW of n * 20 MHz and 4k FFT, a</w:t>
      </w:r>
      <w:r w:rsidR="00627991" w:rsidRPr="002B42AA">
        <w:rPr>
          <w:rFonts w:cs="Arial"/>
          <w:color w:val="000000" w:themeColor="text1"/>
        </w:rPr>
        <w:t xml:space="preserve"> gNB</w:t>
      </w:r>
      <w:r w:rsidR="00627991">
        <w:rPr>
          <w:rFonts w:cs="Arial"/>
          <w:color w:val="000000" w:themeColor="text1"/>
        </w:rPr>
        <w:t xml:space="preserve"> </w:t>
      </w:r>
      <w:r w:rsidR="00627991" w:rsidRPr="002B42AA">
        <w:rPr>
          <w:rFonts w:cs="Arial"/>
          <w:color w:val="000000" w:themeColor="text1"/>
        </w:rPr>
        <w:t xml:space="preserve">may </w:t>
      </w:r>
      <w:r w:rsidR="00627991">
        <w:rPr>
          <w:rFonts w:cs="Arial"/>
          <w:color w:val="000000" w:themeColor="text1"/>
        </w:rPr>
        <w:t xml:space="preserve">potentially </w:t>
      </w:r>
      <w:r w:rsidR="00627991" w:rsidRPr="002B42AA">
        <w:rPr>
          <w:rFonts w:cs="Arial"/>
          <w:color w:val="000000" w:themeColor="text1"/>
        </w:rPr>
        <w:t xml:space="preserve">need to adjust </w:t>
      </w:r>
      <w:r w:rsidR="00627991">
        <w:rPr>
          <w:rFonts w:cs="Arial"/>
          <w:color w:val="000000" w:themeColor="text1"/>
        </w:rPr>
        <w:t>its</w:t>
      </w:r>
      <w:r w:rsidR="00627991" w:rsidRPr="002B42AA">
        <w:rPr>
          <w:rFonts w:cs="Arial"/>
          <w:color w:val="000000" w:themeColor="text1"/>
        </w:rPr>
        <w:t xml:space="preserve"> </w:t>
      </w:r>
      <w:r w:rsidR="00037024">
        <w:rPr>
          <w:rFonts w:cs="Arial"/>
          <w:color w:val="000000" w:themeColor="text1"/>
        </w:rPr>
        <w:t xml:space="preserve">transmitter </w:t>
      </w:r>
      <w:r w:rsidR="00742FA7">
        <w:rPr>
          <w:rFonts w:cs="Arial"/>
          <w:color w:val="000000" w:themeColor="text1"/>
        </w:rPr>
        <w:t xml:space="preserve">operation </w:t>
      </w:r>
      <w:r w:rsidR="00037024">
        <w:rPr>
          <w:rFonts w:cs="Arial"/>
          <w:color w:val="000000" w:themeColor="text1"/>
        </w:rPr>
        <w:t>(e.g. filters)</w:t>
      </w:r>
      <w:r w:rsidR="00627991">
        <w:rPr>
          <w:rFonts w:cs="Arial"/>
          <w:color w:val="000000" w:themeColor="text1"/>
        </w:rPr>
        <w:t xml:space="preserve"> </w:t>
      </w:r>
      <w:r w:rsidR="00742FA7">
        <w:rPr>
          <w:rFonts w:cs="Arial"/>
          <w:color w:val="000000" w:themeColor="text1"/>
        </w:rPr>
        <w:t xml:space="preserve">very rapidly </w:t>
      </w:r>
      <w:r w:rsidR="00627991" w:rsidRPr="002B42AA">
        <w:rPr>
          <w:rFonts w:cs="Arial"/>
          <w:color w:val="000000" w:themeColor="text1"/>
        </w:rPr>
        <w:t>to meet the</w:t>
      </w:r>
      <w:r>
        <w:rPr>
          <w:rFonts w:cs="Arial"/>
          <w:color w:val="000000" w:themeColor="text1"/>
        </w:rPr>
        <w:t xml:space="preserve"> ACLR</w:t>
      </w:r>
      <w:r w:rsidR="00627991" w:rsidRPr="002B42AA">
        <w:rPr>
          <w:rFonts w:cs="Arial"/>
          <w:color w:val="000000" w:themeColor="text1"/>
        </w:rPr>
        <w:t xml:space="preserve"> </w:t>
      </w:r>
      <w:r w:rsidR="001E1C15">
        <w:rPr>
          <w:rFonts w:cs="Arial"/>
          <w:color w:val="000000" w:themeColor="text1"/>
        </w:rPr>
        <w:t>requirement</w:t>
      </w:r>
      <w:r w:rsidR="00627991" w:rsidRPr="002B42AA">
        <w:rPr>
          <w:rFonts w:cs="Arial"/>
          <w:color w:val="000000" w:themeColor="text1"/>
        </w:rPr>
        <w:t xml:space="preserve"> defined for the out</w:t>
      </w:r>
      <w:r w:rsidR="00627991">
        <w:rPr>
          <w:rFonts w:cs="Arial"/>
          <w:color w:val="000000" w:themeColor="text1"/>
        </w:rPr>
        <w:t>-of-</w:t>
      </w:r>
      <w:r w:rsidR="00627991" w:rsidRPr="002B42AA">
        <w:rPr>
          <w:rFonts w:cs="Arial"/>
          <w:color w:val="000000" w:themeColor="text1"/>
        </w:rPr>
        <w:t>band emissions.</w:t>
      </w:r>
      <w:r w:rsidR="00627991">
        <w:rPr>
          <w:rFonts w:cs="Arial"/>
          <w:color w:val="000000" w:themeColor="text1"/>
        </w:rPr>
        <w:t xml:space="preserve"> Similar aspects are also relevant to UL/UE operation. </w:t>
      </w:r>
      <w:r>
        <w:rPr>
          <w:rFonts w:cs="Arial"/>
          <w:color w:val="000000" w:themeColor="text1"/>
        </w:rPr>
        <w:t xml:space="preserve">Considering that LAA DL CA is implemented using single RF and </w:t>
      </w:r>
      <w:r w:rsidR="001E1C15">
        <w:rPr>
          <w:rFonts w:cs="Arial"/>
          <w:color w:val="000000" w:themeColor="text1"/>
        </w:rPr>
        <w:t>digital</w:t>
      </w:r>
      <w:r>
        <w:rPr>
          <w:rFonts w:cs="Arial"/>
          <w:color w:val="000000" w:themeColor="text1"/>
        </w:rPr>
        <w:t xml:space="preserve"> filtering is performed based on LBT outcome. Filtering out multiple 20MHz chunks </w:t>
      </w:r>
      <w:r w:rsidR="00624D71">
        <w:rPr>
          <w:rFonts w:cs="Arial"/>
          <w:color w:val="000000" w:themeColor="text1"/>
        </w:rPr>
        <w:t>is feasible, then also filtering of</w:t>
      </w:r>
      <w:r>
        <w:rPr>
          <w:rFonts w:cs="Arial"/>
          <w:color w:val="000000" w:themeColor="text1"/>
        </w:rPr>
        <w:t xml:space="preserve"> larger</w:t>
      </w:r>
      <w:r w:rsidR="001E1C15">
        <w:rPr>
          <w:rFonts w:cs="Arial"/>
          <w:color w:val="000000" w:themeColor="text1"/>
        </w:rPr>
        <w:t xml:space="preserve"> </w:t>
      </w:r>
      <w:r w:rsidR="002B53A6">
        <w:rPr>
          <w:rFonts w:cs="Arial"/>
          <w:i/>
          <w:color w:val="000000" w:themeColor="text1"/>
        </w:rPr>
        <w:t>n * 20 MHz</w:t>
      </w:r>
      <w:r>
        <w:rPr>
          <w:rFonts w:cs="Arial"/>
          <w:color w:val="000000" w:themeColor="text1"/>
        </w:rPr>
        <w:t xml:space="preserve"> chunks should be feasible. The RAN4 shall define ACLR requirements for </w:t>
      </w:r>
      <w:r>
        <w:rPr>
          <w:rFonts w:cs="Arial"/>
          <w:i/>
          <w:color w:val="000000" w:themeColor="text1"/>
        </w:rPr>
        <w:t xml:space="preserve">n * 20 MHz </w:t>
      </w:r>
      <w:r w:rsidRPr="00520930">
        <w:rPr>
          <w:rFonts w:cs="Arial"/>
          <w:color w:val="000000" w:themeColor="text1"/>
        </w:rPr>
        <w:t>channel transmission BW</w:t>
      </w:r>
      <w:r>
        <w:rPr>
          <w:rFonts w:cs="Arial"/>
          <w:color w:val="000000" w:themeColor="text1"/>
        </w:rPr>
        <w:t xml:space="preserve">, which would be applicable given the LBT outcome. </w:t>
      </w:r>
      <w:r w:rsidR="00624D71">
        <w:rPr>
          <w:rFonts w:cs="Arial"/>
          <w:color w:val="000000" w:themeColor="text1"/>
        </w:rPr>
        <w:t>Therefore, T</w:t>
      </w:r>
      <w:r w:rsidR="00AF75C0">
        <w:rPr>
          <w:rFonts w:cs="Arial"/>
          <w:color w:val="000000" w:themeColor="text1"/>
        </w:rPr>
        <w:t>X bandwidth</w:t>
      </w:r>
      <w:r w:rsidR="00624D71">
        <w:rPr>
          <w:rFonts w:cs="Arial"/>
          <w:color w:val="000000" w:themeColor="text1"/>
        </w:rPr>
        <w:t xml:space="preserve"> adaptation within gNB carrier as well as UE carrier (BWP) is feasible without guard bands between contiguously transmitted sub-bands. </w:t>
      </w:r>
      <w:r w:rsidR="008D463B">
        <w:rPr>
          <w:rFonts w:cs="Arial"/>
          <w:color w:val="000000" w:themeColor="text1"/>
        </w:rPr>
        <w:t>G</w:t>
      </w:r>
      <w:r w:rsidR="0083705F">
        <w:rPr>
          <w:rFonts w:cs="Arial"/>
          <w:color w:val="000000" w:themeColor="text1"/>
        </w:rPr>
        <w:t>uard band</w:t>
      </w:r>
      <w:r w:rsidR="008D463B">
        <w:rPr>
          <w:rFonts w:cs="Arial"/>
          <w:color w:val="000000" w:themeColor="text1"/>
        </w:rPr>
        <w:t xml:space="preserve"> width</w:t>
      </w:r>
      <w:r w:rsidR="00A22B08">
        <w:rPr>
          <w:rFonts w:cs="Arial"/>
          <w:color w:val="000000" w:themeColor="text1"/>
        </w:rPr>
        <w:t xml:space="preserve"> on the edges of transmission, i.e., on the sub-bands at the edge of transmission, requires further investigation.</w:t>
      </w:r>
    </w:p>
    <w:p w14:paraId="3A8A66D0" w14:textId="77777777" w:rsidR="00520930" w:rsidRDefault="00520930" w:rsidP="00627991">
      <w:pPr>
        <w:jc w:val="both"/>
        <w:rPr>
          <w:rFonts w:cs="Arial"/>
          <w:color w:val="000000" w:themeColor="text1"/>
        </w:rPr>
      </w:pPr>
    </w:p>
    <w:p w14:paraId="251573C3" w14:textId="33A53FDE" w:rsidR="00037024" w:rsidRDefault="00037024" w:rsidP="0048748C">
      <w:pPr>
        <w:keepNext/>
        <w:jc w:val="center"/>
      </w:pPr>
      <w:r>
        <w:rPr>
          <w:noProof/>
        </w:rPr>
        <w:drawing>
          <wp:inline distT="0" distB="0" distL="0" distR="0" wp14:anchorId="30EE2E46" wp14:editId="33840BF9">
            <wp:extent cx="4930140" cy="1364886"/>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933937" cy="1365937"/>
                    </a:xfrm>
                    <a:prstGeom prst="rect">
                      <a:avLst/>
                    </a:prstGeom>
                    <a:noFill/>
                  </pic:spPr>
                </pic:pic>
              </a:graphicData>
            </a:graphic>
          </wp:inline>
        </w:drawing>
      </w:r>
    </w:p>
    <w:p w14:paraId="11849196" w14:textId="52162CF0" w:rsidR="002E3C3F" w:rsidRDefault="00037024" w:rsidP="00DA2210">
      <w:pPr>
        <w:pStyle w:val="Caption"/>
        <w:jc w:val="center"/>
      </w:pPr>
      <w:r>
        <w:t xml:space="preserve">Figure </w:t>
      </w:r>
      <w:r>
        <w:fldChar w:fldCharType="begin"/>
      </w:r>
      <w:r>
        <w:instrText xml:space="preserve"> SEQ Figure \* ARABIC </w:instrText>
      </w:r>
      <w:r>
        <w:fldChar w:fldCharType="separate"/>
      </w:r>
      <w:r w:rsidR="002B53A6">
        <w:rPr>
          <w:noProof/>
        </w:rPr>
        <w:t>2</w:t>
      </w:r>
      <w:r>
        <w:fldChar w:fldCharType="end"/>
      </w:r>
      <w:r>
        <w:t>. Dynamic TX bandwidth adjustment following e.g. outcome of LBT may result in emissions to adjacent sub-bands.</w:t>
      </w:r>
    </w:p>
    <w:p w14:paraId="587F6285" w14:textId="4D68665F" w:rsidR="00624D71" w:rsidRPr="00624D71" w:rsidRDefault="00627991" w:rsidP="00624D71">
      <w:pPr>
        <w:jc w:val="both"/>
        <w:rPr>
          <w:rFonts w:cs="Arial"/>
          <w:i/>
          <w:color w:val="000000" w:themeColor="text1"/>
        </w:rPr>
      </w:pPr>
      <w:r w:rsidRPr="00624D71">
        <w:rPr>
          <w:rFonts w:cs="Arial"/>
          <w:b/>
          <w:i/>
          <w:color w:val="000000" w:themeColor="text1"/>
        </w:rPr>
        <w:t xml:space="preserve">Proposal </w:t>
      </w:r>
      <w:r w:rsidR="00624D71" w:rsidRPr="00624D71">
        <w:rPr>
          <w:rFonts w:cs="Arial"/>
          <w:b/>
          <w:i/>
          <w:color w:val="000000" w:themeColor="text1"/>
        </w:rPr>
        <w:t>2</w:t>
      </w:r>
      <w:r w:rsidR="001E1C15">
        <w:rPr>
          <w:rFonts w:cs="Arial"/>
          <w:b/>
          <w:i/>
          <w:color w:val="000000" w:themeColor="text1"/>
        </w:rPr>
        <w:t xml:space="preserve">: </w:t>
      </w:r>
      <w:r w:rsidR="00624D71" w:rsidRPr="00624D71">
        <w:rPr>
          <w:rFonts w:cs="Arial"/>
          <w:i/>
          <w:color w:val="000000" w:themeColor="text1"/>
        </w:rPr>
        <w:t>T</w:t>
      </w:r>
      <w:r w:rsidR="00AF75C0">
        <w:rPr>
          <w:rFonts w:cs="Arial"/>
          <w:i/>
          <w:color w:val="000000" w:themeColor="text1"/>
        </w:rPr>
        <w:t>X bandwidth</w:t>
      </w:r>
      <w:r w:rsidR="00624D71" w:rsidRPr="00624D71">
        <w:rPr>
          <w:rFonts w:cs="Arial"/>
          <w:i/>
          <w:color w:val="000000" w:themeColor="text1"/>
        </w:rPr>
        <w:t xml:space="preserve"> adaptation within gNB carrier as well as UE carrier (BWP) is feasible. </w:t>
      </w:r>
      <w:r w:rsidR="00624D71">
        <w:rPr>
          <w:rFonts w:cs="Arial"/>
          <w:i/>
          <w:color w:val="000000" w:themeColor="text1"/>
        </w:rPr>
        <w:t xml:space="preserve">ACLR requirements need to be defined for n * 20 MHz </w:t>
      </w:r>
      <w:r w:rsidR="00624D71" w:rsidRPr="009030A9">
        <w:rPr>
          <w:rFonts w:cs="Arial"/>
          <w:i/>
          <w:color w:val="000000" w:themeColor="text1"/>
        </w:rPr>
        <w:t xml:space="preserve">channel </w:t>
      </w:r>
      <w:r w:rsidR="00DF3E41" w:rsidRPr="009030A9">
        <w:rPr>
          <w:rFonts w:cs="Arial"/>
          <w:i/>
          <w:color w:val="000000" w:themeColor="text1"/>
        </w:rPr>
        <w:t>TX</w:t>
      </w:r>
      <w:r w:rsidR="00624D71" w:rsidRPr="009030A9">
        <w:rPr>
          <w:rFonts w:cs="Arial"/>
          <w:i/>
          <w:color w:val="000000" w:themeColor="text1"/>
        </w:rPr>
        <w:t xml:space="preserve"> </w:t>
      </w:r>
      <w:r w:rsidR="00DF3E41" w:rsidRPr="009030A9">
        <w:rPr>
          <w:rFonts w:cs="Arial"/>
          <w:i/>
          <w:color w:val="000000" w:themeColor="text1"/>
        </w:rPr>
        <w:t>bandwidth</w:t>
      </w:r>
      <w:r w:rsidR="00624D71" w:rsidRPr="009030A9">
        <w:rPr>
          <w:rFonts w:cs="Arial"/>
          <w:i/>
          <w:color w:val="000000" w:themeColor="text1"/>
        </w:rPr>
        <w:t xml:space="preserve"> for NR-U.</w:t>
      </w:r>
    </w:p>
    <w:p w14:paraId="2079C7BC" w14:textId="355A7992" w:rsidR="00627991" w:rsidRPr="0048748C" w:rsidRDefault="00627991" w:rsidP="00AF75C0">
      <w:pPr>
        <w:pStyle w:val="Heading2"/>
      </w:pPr>
      <w:r w:rsidRPr="0048748C">
        <w:t>gNB and UE reception</w:t>
      </w:r>
      <w:r w:rsidR="00FB04E1">
        <w:t xml:space="preserve"> </w:t>
      </w:r>
    </w:p>
    <w:p w14:paraId="7AF04345" w14:textId="13725741" w:rsidR="00627991" w:rsidRDefault="00627991" w:rsidP="00627991">
      <w:pPr>
        <w:jc w:val="both"/>
        <w:rPr>
          <w:rFonts w:cs="Arial"/>
          <w:color w:val="000000" w:themeColor="text1"/>
        </w:rPr>
      </w:pPr>
      <w:r>
        <w:rPr>
          <w:rFonts w:cs="Arial"/>
          <w:color w:val="000000" w:themeColor="text1"/>
        </w:rPr>
        <w:t xml:space="preserve">In unlicensed band operation, the receiving node (gNB or UE) may not know the exact transmission bandwidth applied after LBT. An example of a potential scenario for dynamic BW adaptation is illustrated </w:t>
      </w:r>
      <w:r w:rsidRPr="00EF5E0D">
        <w:rPr>
          <w:rFonts w:cs="Arial"/>
          <w:color w:val="000000" w:themeColor="text1"/>
        </w:rPr>
        <w:t xml:space="preserve">in Figure </w:t>
      </w:r>
      <w:r w:rsidR="002B53A6">
        <w:rPr>
          <w:rFonts w:cs="Arial"/>
          <w:color w:val="000000" w:themeColor="text1"/>
        </w:rPr>
        <w:t>3</w:t>
      </w:r>
      <w:r w:rsidRPr="00EF5E0D">
        <w:rPr>
          <w:rFonts w:cs="Arial"/>
          <w:color w:val="000000" w:themeColor="text1"/>
        </w:rPr>
        <w:t>.</w:t>
      </w:r>
      <w:r>
        <w:rPr>
          <w:rFonts w:cs="Arial"/>
          <w:color w:val="000000" w:themeColor="text1"/>
        </w:rPr>
        <w:t xml:space="preserve"> </w:t>
      </w:r>
      <w:r w:rsidR="003F6700">
        <w:rPr>
          <w:rFonts w:cs="Arial"/>
          <w:color w:val="000000" w:themeColor="text1"/>
        </w:rPr>
        <w:t>In any COT, a gNB or</w:t>
      </w:r>
      <w:r w:rsidR="002B53A6">
        <w:rPr>
          <w:rFonts w:cs="Arial"/>
          <w:color w:val="000000" w:themeColor="text1"/>
        </w:rPr>
        <w:t xml:space="preserve"> a</w:t>
      </w:r>
      <w:r w:rsidR="003F6700">
        <w:rPr>
          <w:rFonts w:cs="Arial"/>
          <w:color w:val="000000" w:themeColor="text1"/>
        </w:rPr>
        <w:t xml:space="preserve"> UE intending to transmit with 80 MHz bandwidth, may need reduce the TX bandwidth because some of the sub-</w:t>
      </w:r>
      <w:r w:rsidR="003F6700">
        <w:rPr>
          <w:rFonts w:cs="Arial"/>
          <w:color w:val="000000" w:themeColor="text1"/>
        </w:rPr>
        <w:lastRenderedPageBreak/>
        <w:t>bands are occupied by other systems. Consequently, the node receiving the transmission assuming a 80 MHz bandwidth may end up receiving interfering signals on some of the sub-bands potentially having a larger power level than the signal o</w:t>
      </w:r>
      <w:r w:rsidR="00FB04E1">
        <w:rPr>
          <w:rFonts w:cs="Arial"/>
          <w:color w:val="000000" w:themeColor="text1"/>
        </w:rPr>
        <w:t>f</w:t>
      </w:r>
      <w:r w:rsidR="003F6700">
        <w:rPr>
          <w:rFonts w:cs="Arial"/>
          <w:color w:val="000000" w:themeColor="text1"/>
        </w:rPr>
        <w:t xml:space="preserve"> interest.   </w:t>
      </w:r>
    </w:p>
    <w:p w14:paraId="3388FDE3" w14:textId="77777777" w:rsidR="00E00974" w:rsidRDefault="00323FF0" w:rsidP="0048748C">
      <w:pPr>
        <w:keepNext/>
        <w:jc w:val="center"/>
      </w:pPr>
      <w:r>
        <w:rPr>
          <w:rFonts w:cs="Arial"/>
          <w:noProof/>
          <w:color w:val="000000" w:themeColor="text1"/>
        </w:rPr>
        <w:drawing>
          <wp:inline distT="0" distB="0" distL="0" distR="0" wp14:anchorId="28DD37BE" wp14:editId="7DB23C3E">
            <wp:extent cx="5101590" cy="1744443"/>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104292" cy="1745367"/>
                    </a:xfrm>
                    <a:prstGeom prst="rect">
                      <a:avLst/>
                    </a:prstGeom>
                    <a:noFill/>
                  </pic:spPr>
                </pic:pic>
              </a:graphicData>
            </a:graphic>
          </wp:inline>
        </w:drawing>
      </w:r>
    </w:p>
    <w:p w14:paraId="6E51B54F" w14:textId="440FC213" w:rsidR="00627991" w:rsidRDefault="00E00974" w:rsidP="00DA2210">
      <w:pPr>
        <w:pStyle w:val="Caption"/>
        <w:jc w:val="center"/>
        <w:rPr>
          <w:rFonts w:cs="Arial"/>
          <w:color w:val="000000" w:themeColor="text1"/>
        </w:rPr>
      </w:pPr>
      <w:r>
        <w:t xml:space="preserve">Figure </w:t>
      </w:r>
      <w:r>
        <w:fldChar w:fldCharType="begin"/>
      </w:r>
      <w:r>
        <w:instrText xml:space="preserve"> SEQ Figure \* ARABIC </w:instrText>
      </w:r>
      <w:r>
        <w:fldChar w:fldCharType="separate"/>
      </w:r>
      <w:r w:rsidR="002B53A6">
        <w:rPr>
          <w:noProof/>
        </w:rPr>
        <w:t>3</w:t>
      </w:r>
      <w:r>
        <w:fldChar w:fldCharType="end"/>
      </w:r>
      <w:r>
        <w:t>.</w:t>
      </w:r>
      <w:r w:rsidR="00EF5E0D">
        <w:t xml:space="preserve"> </w:t>
      </w:r>
      <w:r w:rsidR="00EF5E0D">
        <w:rPr>
          <w:rFonts w:cs="Arial"/>
          <w:color w:val="000000" w:themeColor="text1"/>
        </w:rPr>
        <w:t>An example of a potential scenario for dynamic BW adaptation.</w:t>
      </w:r>
    </w:p>
    <w:p w14:paraId="511947C5" w14:textId="55CEDF8B" w:rsidR="00627991" w:rsidRDefault="00627991" w:rsidP="00627991">
      <w:pPr>
        <w:pStyle w:val="Caption"/>
        <w:rPr>
          <w:rFonts w:cs="Arial"/>
          <w:color w:val="000000" w:themeColor="text1"/>
        </w:rPr>
      </w:pPr>
    </w:p>
    <w:p w14:paraId="33B73CA5" w14:textId="240172B0" w:rsidR="00FB04E1" w:rsidRDefault="00627991" w:rsidP="00627991">
      <w:pPr>
        <w:jc w:val="both"/>
        <w:rPr>
          <w:rFonts w:cs="Arial"/>
          <w:color w:val="000000" w:themeColor="text1"/>
        </w:rPr>
      </w:pPr>
      <w:r>
        <w:rPr>
          <w:rFonts w:cs="Arial"/>
          <w:color w:val="000000" w:themeColor="text1"/>
        </w:rPr>
        <w:t xml:space="preserve">Unless the </w:t>
      </w:r>
      <w:r w:rsidR="00FB04E1">
        <w:rPr>
          <w:rFonts w:cs="Arial"/>
          <w:color w:val="000000" w:themeColor="text1"/>
        </w:rPr>
        <w:t>receiving node</w:t>
      </w:r>
      <w:r>
        <w:rPr>
          <w:rFonts w:cs="Arial"/>
          <w:color w:val="000000" w:themeColor="text1"/>
        </w:rPr>
        <w:t xml:space="preserve"> is informed of the TX bandwidth, it will potentially receive a significant amount of in-band interference on the two lowest sub-bands that the </w:t>
      </w:r>
      <w:r w:rsidR="00854CCF">
        <w:rPr>
          <w:rFonts w:cs="Arial"/>
          <w:color w:val="000000" w:themeColor="text1"/>
        </w:rPr>
        <w:t xml:space="preserve">serving </w:t>
      </w:r>
      <w:r>
        <w:rPr>
          <w:rFonts w:cs="Arial"/>
          <w:color w:val="000000" w:themeColor="text1"/>
        </w:rPr>
        <w:t xml:space="preserve">gNodeB is not using. This may affect </w:t>
      </w:r>
      <w:r w:rsidR="00FB04E1">
        <w:rPr>
          <w:rFonts w:cs="Arial"/>
          <w:color w:val="000000" w:themeColor="text1"/>
        </w:rPr>
        <w:t>its</w:t>
      </w:r>
      <w:r>
        <w:rPr>
          <w:rFonts w:cs="Arial"/>
          <w:color w:val="000000" w:themeColor="text1"/>
        </w:rPr>
        <w:t xml:space="preserve"> reception e.g. due to dynamic range of the A/D conversion and AGC, depending on how strong the in-band interference is.</w:t>
      </w:r>
      <w:r w:rsidR="00FB04E1">
        <w:rPr>
          <w:rFonts w:cs="Arial"/>
          <w:color w:val="000000" w:themeColor="text1"/>
        </w:rPr>
        <w:t xml:space="preserve"> </w:t>
      </w:r>
    </w:p>
    <w:p w14:paraId="2BEA80F0" w14:textId="0E3B8D08" w:rsidR="00624D71" w:rsidRPr="00624D71" w:rsidRDefault="00624D71" w:rsidP="00627991">
      <w:pPr>
        <w:jc w:val="both"/>
        <w:rPr>
          <w:rFonts w:cs="Arial"/>
          <w:color w:val="000000" w:themeColor="text1"/>
        </w:rPr>
      </w:pPr>
      <w:r w:rsidRPr="00624D71">
        <w:rPr>
          <w:rFonts w:cs="Arial"/>
          <w:color w:val="000000" w:themeColor="text1"/>
        </w:rPr>
        <w:t>How</w:t>
      </w:r>
      <w:r>
        <w:rPr>
          <w:rFonts w:cs="Arial"/>
          <w:color w:val="000000" w:themeColor="text1"/>
        </w:rPr>
        <w:t xml:space="preserve">ever, the situation depicted on the Figure </w:t>
      </w:r>
      <w:r w:rsidR="002B53A6">
        <w:rPr>
          <w:rFonts w:cs="Arial"/>
          <w:color w:val="000000" w:themeColor="text1"/>
        </w:rPr>
        <w:t>3</w:t>
      </w:r>
      <w:r>
        <w:rPr>
          <w:rFonts w:cs="Arial"/>
          <w:color w:val="000000" w:themeColor="text1"/>
        </w:rPr>
        <w:t xml:space="preserve">, is nothing </w:t>
      </w:r>
      <w:r w:rsidR="001E1C15">
        <w:rPr>
          <w:rFonts w:cs="Arial"/>
          <w:color w:val="000000" w:themeColor="text1"/>
        </w:rPr>
        <w:t xml:space="preserve">new, </w:t>
      </w:r>
      <w:r>
        <w:rPr>
          <w:rFonts w:cs="Arial"/>
          <w:color w:val="000000" w:themeColor="text1"/>
        </w:rPr>
        <w:t>similar situation occurs in LAA DL CA, and to our knowledge there are no requirements or test cases s</w:t>
      </w:r>
      <w:r w:rsidR="00BE7425">
        <w:rPr>
          <w:rFonts w:cs="Arial"/>
          <w:color w:val="000000" w:themeColor="text1"/>
        </w:rPr>
        <w:t>pecified for this case in RAN4. A UE may implement a single RF or multiple RF. With single RF, a UE may tolerate interference from neighbour sub-band of up to 3</w:t>
      </w:r>
      <w:r w:rsidR="007F26F7">
        <w:rPr>
          <w:rFonts w:cs="Arial"/>
          <w:color w:val="000000" w:themeColor="text1"/>
        </w:rPr>
        <w:t>3</w:t>
      </w:r>
      <w:r w:rsidR="00BE7425">
        <w:rPr>
          <w:rFonts w:cs="Arial"/>
          <w:color w:val="000000" w:themeColor="text1"/>
        </w:rPr>
        <w:t>dB</w:t>
      </w:r>
      <w:r w:rsidR="007F26F7">
        <w:rPr>
          <w:rFonts w:cs="Arial"/>
          <w:color w:val="000000" w:themeColor="text1"/>
        </w:rPr>
        <w:t xml:space="preserve"> by LTE requirement, and in </w:t>
      </w:r>
      <w:r w:rsidR="002B53A6">
        <w:rPr>
          <w:rFonts w:cs="Arial"/>
          <w:color w:val="000000" w:themeColor="text1"/>
        </w:rPr>
        <w:t>potentially</w:t>
      </w:r>
      <w:r w:rsidR="007F26F7">
        <w:rPr>
          <w:rFonts w:cs="Arial"/>
          <w:color w:val="000000" w:themeColor="text1"/>
        </w:rPr>
        <w:t xml:space="preserve"> </w:t>
      </w:r>
      <w:r w:rsidR="002B53A6">
        <w:rPr>
          <w:rFonts w:cs="Arial"/>
          <w:color w:val="000000" w:themeColor="text1"/>
        </w:rPr>
        <w:t xml:space="preserve">better </w:t>
      </w:r>
      <w:r w:rsidR="002B53A6" w:rsidRPr="002B53A6">
        <w:rPr>
          <w:rFonts w:cs="Arial"/>
          <w:color w:val="000000" w:themeColor="text1"/>
        </w:rPr>
        <w:t>Adjacent channel selectivity</w:t>
      </w:r>
      <w:r w:rsidR="002B53A6">
        <w:rPr>
          <w:rFonts w:cs="Arial"/>
          <w:color w:val="000000" w:themeColor="text1"/>
        </w:rPr>
        <w:t xml:space="preserve"> (ACS) c</w:t>
      </w:r>
      <w:r w:rsidR="007F26F7">
        <w:rPr>
          <w:rFonts w:cs="Arial"/>
          <w:color w:val="000000" w:themeColor="text1"/>
        </w:rPr>
        <w:t>ould be achievable</w:t>
      </w:r>
      <w:r w:rsidR="002B53A6">
        <w:rPr>
          <w:rFonts w:cs="Arial"/>
          <w:color w:val="000000" w:themeColor="text1"/>
        </w:rPr>
        <w:t xml:space="preserve"> (FFS)</w:t>
      </w:r>
      <w:r w:rsidR="00BE7425">
        <w:rPr>
          <w:rFonts w:cs="Arial"/>
          <w:color w:val="000000" w:themeColor="text1"/>
        </w:rPr>
        <w:t xml:space="preserve">. </w:t>
      </w:r>
    </w:p>
    <w:p w14:paraId="55E3C5C7" w14:textId="6D678CD3" w:rsidR="00627991" w:rsidRDefault="001E1C15" w:rsidP="00627991">
      <w:pPr>
        <w:jc w:val="both"/>
        <w:rPr>
          <w:rFonts w:cs="Arial"/>
          <w:i/>
          <w:color w:val="000000" w:themeColor="text1"/>
        </w:rPr>
      </w:pPr>
      <w:r>
        <w:rPr>
          <w:rFonts w:cs="Arial"/>
          <w:b/>
          <w:color w:val="000000" w:themeColor="text1"/>
        </w:rPr>
        <w:t>Observation</w:t>
      </w:r>
      <w:r w:rsidR="002B53A6">
        <w:rPr>
          <w:rFonts w:cs="Arial"/>
          <w:b/>
          <w:color w:val="000000" w:themeColor="text1"/>
        </w:rPr>
        <w:t>-5</w:t>
      </w:r>
      <w:r w:rsidR="00627991" w:rsidRPr="003844DF">
        <w:rPr>
          <w:rFonts w:cs="Arial"/>
          <w:color w:val="000000" w:themeColor="text1"/>
        </w:rPr>
        <w:t xml:space="preserve">: </w:t>
      </w:r>
      <w:r>
        <w:rPr>
          <w:rFonts w:cs="Arial"/>
          <w:i/>
          <w:color w:val="000000" w:themeColor="text1"/>
        </w:rPr>
        <w:t xml:space="preserve">It is </w:t>
      </w:r>
      <w:r w:rsidR="00627991" w:rsidRPr="003844DF">
        <w:rPr>
          <w:rFonts w:cs="Arial"/>
          <w:i/>
          <w:color w:val="000000" w:themeColor="text1"/>
        </w:rPr>
        <w:t>feasib</w:t>
      </w:r>
      <w:r>
        <w:rPr>
          <w:rFonts w:cs="Arial"/>
          <w:i/>
          <w:color w:val="000000" w:themeColor="text1"/>
        </w:rPr>
        <w:t>le</w:t>
      </w:r>
      <w:r w:rsidR="00627991" w:rsidRPr="003844DF">
        <w:rPr>
          <w:rFonts w:cs="Arial"/>
          <w:i/>
          <w:color w:val="000000" w:themeColor="text1"/>
        </w:rPr>
        <w:t xml:space="preserve"> </w:t>
      </w:r>
      <w:r>
        <w:rPr>
          <w:rFonts w:cs="Arial"/>
          <w:i/>
          <w:color w:val="000000" w:themeColor="text1"/>
        </w:rPr>
        <w:t>to</w:t>
      </w:r>
      <w:r w:rsidR="00627991" w:rsidRPr="003844DF">
        <w:rPr>
          <w:rFonts w:cs="Arial"/>
          <w:i/>
          <w:color w:val="000000" w:themeColor="text1"/>
        </w:rPr>
        <w:t xml:space="preserve"> receiv</w:t>
      </w:r>
      <w:r>
        <w:rPr>
          <w:rFonts w:cs="Arial"/>
          <w:i/>
          <w:color w:val="000000" w:themeColor="text1"/>
        </w:rPr>
        <w:t>e</w:t>
      </w:r>
      <w:r w:rsidR="00627991" w:rsidRPr="003844DF">
        <w:rPr>
          <w:rFonts w:cs="Arial"/>
          <w:i/>
          <w:color w:val="000000" w:themeColor="text1"/>
        </w:rPr>
        <w:t xml:space="preserve"> transmissions on one</w:t>
      </w:r>
      <w:r w:rsidR="00E00974">
        <w:rPr>
          <w:rFonts w:cs="Arial"/>
          <w:i/>
          <w:color w:val="000000" w:themeColor="text1"/>
        </w:rPr>
        <w:t xml:space="preserve"> or more</w:t>
      </w:r>
      <w:r w:rsidR="00627991" w:rsidRPr="003844DF">
        <w:rPr>
          <w:rFonts w:cs="Arial"/>
          <w:i/>
          <w:color w:val="000000" w:themeColor="text1"/>
        </w:rPr>
        <w:t xml:space="preserve"> 20 MHz channel</w:t>
      </w:r>
      <w:r w:rsidR="00E00974">
        <w:rPr>
          <w:rFonts w:cs="Arial"/>
          <w:i/>
          <w:color w:val="000000" w:themeColor="text1"/>
        </w:rPr>
        <w:t>s</w:t>
      </w:r>
      <w:r w:rsidR="00627991" w:rsidRPr="003844DF">
        <w:rPr>
          <w:rFonts w:cs="Arial"/>
          <w:i/>
          <w:color w:val="000000" w:themeColor="text1"/>
        </w:rPr>
        <w:t xml:space="preserve">, while the receiver BW is n * 20 MHz (2 </w:t>
      </w:r>
      <w:r w:rsidR="00627991" w:rsidRPr="003844DF">
        <w:rPr>
          <w:i/>
          <w:color w:val="000000" w:themeColor="text1"/>
        </w:rPr>
        <w:t xml:space="preserve">≤ </w:t>
      </w:r>
      <w:r w:rsidR="00627991" w:rsidRPr="003844DF">
        <w:rPr>
          <w:rFonts w:cs="Arial"/>
          <w:i/>
          <w:color w:val="000000" w:themeColor="text1"/>
        </w:rPr>
        <w:t xml:space="preserve">n </w:t>
      </w:r>
      <w:r w:rsidR="00627991" w:rsidRPr="003844DF">
        <w:rPr>
          <w:i/>
          <w:color w:val="000000" w:themeColor="text1"/>
        </w:rPr>
        <w:t xml:space="preserve">≤ </w:t>
      </w:r>
      <w:r w:rsidR="002B53A6">
        <w:rPr>
          <w:i/>
          <w:color w:val="000000" w:themeColor="text1"/>
        </w:rPr>
        <w:t>[</w:t>
      </w:r>
      <w:r w:rsidR="00627991" w:rsidRPr="003844DF">
        <w:rPr>
          <w:i/>
          <w:color w:val="000000" w:themeColor="text1"/>
        </w:rPr>
        <w:t>4</w:t>
      </w:r>
      <w:r w:rsidR="002B53A6">
        <w:rPr>
          <w:i/>
          <w:color w:val="000000" w:themeColor="text1"/>
        </w:rPr>
        <w:t>]</w:t>
      </w:r>
      <w:r w:rsidR="00627991" w:rsidRPr="003844DF">
        <w:rPr>
          <w:rFonts w:cs="Arial"/>
          <w:i/>
          <w:color w:val="000000" w:themeColor="text1"/>
        </w:rPr>
        <w:t>), and other 20 MHz channels may contain interference from other nodes</w:t>
      </w:r>
      <w:r w:rsidR="002B53A6">
        <w:rPr>
          <w:rFonts w:cs="Arial"/>
          <w:i/>
          <w:color w:val="000000" w:themeColor="text1"/>
        </w:rPr>
        <w:t xml:space="preserve"> up to X dB stronger (X is FFS)</w:t>
      </w:r>
      <w:r w:rsidR="00627991" w:rsidRPr="003844DF">
        <w:rPr>
          <w:rFonts w:cs="Arial"/>
          <w:i/>
          <w:color w:val="000000" w:themeColor="text1"/>
        </w:rPr>
        <w:t>.</w:t>
      </w:r>
    </w:p>
    <w:p w14:paraId="3CEAEA88" w14:textId="06040006" w:rsidR="00665EA8" w:rsidRDefault="001E1C15" w:rsidP="00665EA8">
      <w:pPr>
        <w:jc w:val="both"/>
        <w:rPr>
          <w:rFonts w:cs="Arial"/>
          <w:i/>
          <w:color w:val="000000" w:themeColor="text1"/>
        </w:rPr>
      </w:pPr>
      <w:r w:rsidRPr="001E1C15">
        <w:rPr>
          <w:rFonts w:cs="Arial"/>
          <w:b/>
          <w:color w:val="000000" w:themeColor="text1"/>
        </w:rPr>
        <w:t>Proposal</w:t>
      </w:r>
      <w:r w:rsidR="002B53A6">
        <w:rPr>
          <w:rFonts w:cs="Arial"/>
          <w:b/>
          <w:color w:val="000000" w:themeColor="text1"/>
        </w:rPr>
        <w:t>-3</w:t>
      </w:r>
      <w:r w:rsidRPr="001E1C15">
        <w:rPr>
          <w:rFonts w:cs="Arial"/>
          <w:b/>
          <w:color w:val="000000" w:themeColor="text1"/>
        </w:rPr>
        <w:t>:</w:t>
      </w:r>
      <w:r>
        <w:rPr>
          <w:rFonts w:cs="Arial"/>
          <w:color w:val="000000" w:themeColor="text1"/>
        </w:rPr>
        <w:t xml:space="preserve"> </w:t>
      </w:r>
      <w:r w:rsidRPr="00665EA8">
        <w:rPr>
          <w:rFonts w:cs="Arial"/>
          <w:i/>
          <w:color w:val="000000" w:themeColor="text1"/>
        </w:rPr>
        <w:t xml:space="preserve">Study further </w:t>
      </w:r>
      <w:r w:rsidR="00665EA8" w:rsidRPr="00665EA8">
        <w:rPr>
          <w:rFonts w:cs="Arial"/>
          <w:i/>
          <w:color w:val="000000" w:themeColor="text1"/>
        </w:rPr>
        <w:t xml:space="preserve">whether there is a need for guard-band PRBs between sub-bands </w:t>
      </w:r>
      <w:r w:rsidR="00665EA8">
        <w:rPr>
          <w:rFonts w:cs="Arial"/>
          <w:i/>
          <w:color w:val="000000" w:themeColor="text1"/>
        </w:rPr>
        <w:t>to</w:t>
      </w:r>
      <w:r w:rsidR="00665EA8" w:rsidRPr="003844DF">
        <w:rPr>
          <w:rFonts w:cs="Arial"/>
          <w:i/>
          <w:color w:val="000000" w:themeColor="text1"/>
        </w:rPr>
        <w:t xml:space="preserve"> receiv</w:t>
      </w:r>
      <w:r w:rsidR="00665EA8">
        <w:rPr>
          <w:rFonts w:cs="Arial"/>
          <w:i/>
          <w:color w:val="000000" w:themeColor="text1"/>
        </w:rPr>
        <w:t>e</w:t>
      </w:r>
      <w:r w:rsidR="00665EA8" w:rsidRPr="003844DF">
        <w:rPr>
          <w:rFonts w:cs="Arial"/>
          <w:i/>
          <w:color w:val="000000" w:themeColor="text1"/>
        </w:rPr>
        <w:t xml:space="preserve"> transmissions on one</w:t>
      </w:r>
      <w:r w:rsidR="00665EA8">
        <w:rPr>
          <w:rFonts w:cs="Arial"/>
          <w:i/>
          <w:color w:val="000000" w:themeColor="text1"/>
        </w:rPr>
        <w:t xml:space="preserve"> or more</w:t>
      </w:r>
      <w:r w:rsidR="00665EA8" w:rsidRPr="003844DF">
        <w:rPr>
          <w:rFonts w:cs="Arial"/>
          <w:i/>
          <w:color w:val="000000" w:themeColor="text1"/>
        </w:rPr>
        <w:t xml:space="preserve"> 20 MHz channel</w:t>
      </w:r>
      <w:r w:rsidR="00665EA8">
        <w:rPr>
          <w:rFonts w:cs="Arial"/>
          <w:i/>
          <w:color w:val="000000" w:themeColor="text1"/>
        </w:rPr>
        <w:t>s</w:t>
      </w:r>
      <w:r w:rsidR="00665EA8" w:rsidRPr="003844DF">
        <w:rPr>
          <w:rFonts w:cs="Arial"/>
          <w:i/>
          <w:color w:val="000000" w:themeColor="text1"/>
        </w:rPr>
        <w:t xml:space="preserve">, while the receiver BW is n * 20 MHz (2 </w:t>
      </w:r>
      <w:r w:rsidR="00665EA8" w:rsidRPr="003844DF">
        <w:rPr>
          <w:i/>
          <w:color w:val="000000" w:themeColor="text1"/>
        </w:rPr>
        <w:t xml:space="preserve">≤ </w:t>
      </w:r>
      <w:r w:rsidR="00665EA8" w:rsidRPr="003844DF">
        <w:rPr>
          <w:rFonts w:cs="Arial"/>
          <w:i/>
          <w:color w:val="000000" w:themeColor="text1"/>
        </w:rPr>
        <w:t xml:space="preserve">n </w:t>
      </w:r>
      <w:r w:rsidR="00665EA8" w:rsidRPr="003844DF">
        <w:rPr>
          <w:i/>
          <w:color w:val="000000" w:themeColor="text1"/>
        </w:rPr>
        <w:t>≤ 4</w:t>
      </w:r>
      <w:r w:rsidR="00665EA8" w:rsidRPr="003844DF">
        <w:rPr>
          <w:rFonts w:cs="Arial"/>
          <w:i/>
          <w:color w:val="000000" w:themeColor="text1"/>
        </w:rPr>
        <w:t>), and other 20 MHz channels may contain interference from other nodes.</w:t>
      </w:r>
    </w:p>
    <w:p w14:paraId="04BA5B65" w14:textId="047166B6" w:rsidR="00624D71" w:rsidRDefault="00665EA8" w:rsidP="00624D71">
      <w:pPr>
        <w:pStyle w:val="Heading1"/>
        <w:rPr>
          <w:color w:val="000000"/>
        </w:rPr>
      </w:pPr>
      <w:r>
        <w:rPr>
          <w:color w:val="000000"/>
        </w:rPr>
        <w:t>LS</w:t>
      </w:r>
    </w:p>
    <w:p w14:paraId="65E26AFA" w14:textId="07E4A3AE" w:rsidR="00624D71" w:rsidRPr="000E186C" w:rsidRDefault="00665EA8" w:rsidP="00BC4958">
      <w:pPr>
        <w:spacing w:after="0"/>
        <w:jc w:val="both"/>
      </w:pPr>
      <w:r w:rsidRPr="000E186C">
        <w:t xml:space="preserve">Based on discussion in Section 2, we have the following </w:t>
      </w:r>
      <w:r w:rsidR="002B53A6" w:rsidRPr="000E186C">
        <w:t>answers to the questions in RAN1 LS</w:t>
      </w:r>
      <w:r w:rsidR="000E186C" w:rsidRPr="000E186C">
        <w:t xml:space="preserve"> </w:t>
      </w:r>
      <w:r w:rsidR="000E186C" w:rsidRPr="000E186C">
        <w:fldChar w:fldCharType="begin"/>
      </w:r>
      <w:r w:rsidR="000E186C" w:rsidRPr="000E186C">
        <w:instrText xml:space="preserve"> REF _Ref528781272 \r \h </w:instrText>
      </w:r>
      <w:r w:rsidR="000E186C">
        <w:instrText xml:space="preserve"> \* MERGEFORMAT </w:instrText>
      </w:r>
      <w:r w:rsidR="000E186C" w:rsidRPr="000E186C">
        <w:fldChar w:fldCharType="separate"/>
      </w:r>
      <w:r w:rsidR="000E186C" w:rsidRPr="000E186C">
        <w:t>[3]</w:t>
      </w:r>
      <w:r w:rsidR="000E186C" w:rsidRPr="000E186C">
        <w:fldChar w:fldCharType="end"/>
      </w:r>
      <w:r w:rsidR="002B53A6" w:rsidRPr="000E186C">
        <w:t xml:space="preserve"> </w:t>
      </w:r>
      <w:r w:rsidRPr="000E186C">
        <w:t>:</w:t>
      </w:r>
    </w:p>
    <w:p w14:paraId="59F8791B" w14:textId="77777777" w:rsidR="00665EA8" w:rsidRPr="000E186C" w:rsidRDefault="00665EA8" w:rsidP="00BC4958">
      <w:pPr>
        <w:spacing w:after="0"/>
        <w:jc w:val="both"/>
      </w:pPr>
    </w:p>
    <w:p w14:paraId="39EBB0F5" w14:textId="77777777" w:rsidR="00665EA8" w:rsidRPr="000E186C" w:rsidRDefault="00665EA8" w:rsidP="00AF75C0">
      <w:pPr>
        <w:overflowPunct/>
        <w:autoSpaceDE/>
        <w:autoSpaceDN/>
        <w:adjustRightInd/>
        <w:jc w:val="both"/>
        <w:textAlignment w:val="auto"/>
      </w:pPr>
      <w:r w:rsidRPr="000E186C">
        <w:rPr>
          <w:b/>
        </w:rPr>
        <w:t>Question 1</w:t>
      </w:r>
      <w:r w:rsidRPr="000E186C">
        <w:t>: Will there be a need for RF requirements within a wideband carrier (&gt; 20 MHz) that spans multiple “LBT sub-bands?” Please consider transmit/receive requirements at both gNB and UE.</w:t>
      </w:r>
    </w:p>
    <w:p w14:paraId="46DC856F" w14:textId="6FA34989" w:rsidR="00665EA8" w:rsidRPr="00AF75C0" w:rsidRDefault="000E186C" w:rsidP="00AF75C0">
      <w:pPr>
        <w:jc w:val="both"/>
        <w:rPr>
          <w:i/>
          <w:color w:val="000000" w:themeColor="text1"/>
        </w:rPr>
      </w:pPr>
      <w:r w:rsidRPr="000E186C">
        <w:rPr>
          <w:b/>
        </w:rPr>
        <w:t>Answer:</w:t>
      </w:r>
      <w:r>
        <w:rPr>
          <w:b/>
        </w:rPr>
        <w:t xml:space="preserve"> </w:t>
      </w:r>
      <w:r w:rsidR="00665EA8" w:rsidRPr="00AF75C0">
        <w:rPr>
          <w:i/>
        </w:rPr>
        <w:t>Fr</w:t>
      </w:r>
      <w:r w:rsidRPr="00AF75C0">
        <w:rPr>
          <w:i/>
        </w:rPr>
        <w:t>om transmitter point of view, TX bandwidth</w:t>
      </w:r>
      <w:r w:rsidR="00665EA8" w:rsidRPr="00AF75C0">
        <w:rPr>
          <w:i/>
        </w:rPr>
        <w:t xml:space="preserve"> adaptation within gNB carrier as well as UE carrier (BWP) is feasible</w:t>
      </w:r>
      <w:r w:rsidR="00B77B41">
        <w:rPr>
          <w:i/>
        </w:rPr>
        <w:t>.</w:t>
      </w:r>
      <w:r w:rsidR="00665EA8" w:rsidRPr="00AF75C0">
        <w:rPr>
          <w:i/>
        </w:rPr>
        <w:t xml:space="preserve"> ACLR requirements need to be defined for n * 20 MHz channel </w:t>
      </w:r>
      <w:r w:rsidRPr="00AF75C0">
        <w:rPr>
          <w:i/>
        </w:rPr>
        <w:t>TX</w:t>
      </w:r>
      <w:r w:rsidR="00665EA8" w:rsidRPr="00AF75C0">
        <w:rPr>
          <w:i/>
        </w:rPr>
        <w:t xml:space="preserve"> </w:t>
      </w:r>
      <w:r w:rsidRPr="00AF75C0">
        <w:rPr>
          <w:i/>
        </w:rPr>
        <w:t>bandwidth</w:t>
      </w:r>
      <w:r w:rsidR="00665EA8" w:rsidRPr="00AF75C0">
        <w:rPr>
          <w:i/>
        </w:rPr>
        <w:t xml:space="preserve"> for NR-U</w:t>
      </w:r>
      <w:r w:rsidR="00665EA8" w:rsidRPr="00AF75C0">
        <w:rPr>
          <w:i/>
          <w:color w:val="000000" w:themeColor="text1"/>
        </w:rPr>
        <w:t>.</w:t>
      </w:r>
    </w:p>
    <w:p w14:paraId="775193B3" w14:textId="136DBDE6" w:rsidR="007B4BC8" w:rsidRPr="00AF75C0" w:rsidRDefault="007B4BC8" w:rsidP="00AF75C0">
      <w:pPr>
        <w:jc w:val="both"/>
        <w:rPr>
          <w:i/>
        </w:rPr>
      </w:pPr>
      <w:r w:rsidRPr="00AF75C0">
        <w:rPr>
          <w:i/>
        </w:rPr>
        <w:t>From receiver point of view, Tx</w:t>
      </w:r>
      <w:r w:rsidR="000E186C" w:rsidRPr="00AF75C0">
        <w:rPr>
          <w:i/>
        </w:rPr>
        <w:t xml:space="preserve"> bandwidth</w:t>
      </w:r>
      <w:r w:rsidRPr="00AF75C0">
        <w:rPr>
          <w:i/>
        </w:rPr>
        <w:t xml:space="preserve"> adaptation within gNB carrier as well as UE carrier (BWP) is feasible, as it was in </w:t>
      </w:r>
      <w:r w:rsidR="000E186C" w:rsidRPr="00AF75C0">
        <w:rPr>
          <w:i/>
        </w:rPr>
        <w:t xml:space="preserve">the </w:t>
      </w:r>
      <w:r w:rsidRPr="00AF75C0">
        <w:rPr>
          <w:i/>
        </w:rPr>
        <w:t>case of intra-band CA in LAA. RAN4 is further discussing whether g</w:t>
      </w:r>
      <w:r w:rsidR="000E186C" w:rsidRPr="00AF75C0">
        <w:rPr>
          <w:i/>
        </w:rPr>
        <w:t>u</w:t>
      </w:r>
      <w:r w:rsidRPr="00AF75C0">
        <w:rPr>
          <w:i/>
        </w:rPr>
        <w:t>a</w:t>
      </w:r>
      <w:r w:rsidR="000E186C" w:rsidRPr="00AF75C0">
        <w:rPr>
          <w:i/>
        </w:rPr>
        <w:t>r</w:t>
      </w:r>
      <w:r w:rsidRPr="00AF75C0">
        <w:rPr>
          <w:i/>
        </w:rPr>
        <w:t>d-band</w:t>
      </w:r>
      <w:r w:rsidR="000E186C" w:rsidRPr="00AF75C0">
        <w:rPr>
          <w:i/>
        </w:rPr>
        <w:t>s</w:t>
      </w:r>
      <w:r w:rsidRPr="00AF75C0">
        <w:rPr>
          <w:i/>
        </w:rPr>
        <w:t xml:space="preserve"> between 20MHz </w:t>
      </w:r>
      <w:r w:rsidR="000E186C" w:rsidRPr="00AF75C0">
        <w:rPr>
          <w:i/>
        </w:rPr>
        <w:t>sub-bands</w:t>
      </w:r>
      <w:r w:rsidRPr="00AF75C0">
        <w:rPr>
          <w:i/>
        </w:rPr>
        <w:t xml:space="preserve"> </w:t>
      </w:r>
      <w:r w:rsidR="00854CCF">
        <w:rPr>
          <w:i/>
        </w:rPr>
        <w:t>are</w:t>
      </w:r>
      <w:r w:rsidRPr="00AF75C0">
        <w:rPr>
          <w:i/>
        </w:rPr>
        <w:t xml:space="preserve"> necessary. Adjacent Channel Selectivity</w:t>
      </w:r>
      <w:r w:rsidR="00AF75C0" w:rsidRPr="00AF75C0">
        <w:rPr>
          <w:i/>
        </w:rPr>
        <w:t xml:space="preserve"> (ACS)</w:t>
      </w:r>
      <w:r w:rsidRPr="00AF75C0">
        <w:rPr>
          <w:i/>
        </w:rPr>
        <w:t xml:space="preserve"> </w:t>
      </w:r>
      <w:r w:rsidR="00C35D43" w:rsidRPr="00AF75C0">
        <w:rPr>
          <w:i/>
        </w:rPr>
        <w:t>req</w:t>
      </w:r>
      <w:r w:rsidR="00364DC4" w:rsidRPr="00AF75C0">
        <w:rPr>
          <w:i/>
        </w:rPr>
        <w:t>uirements ha</w:t>
      </w:r>
      <w:r w:rsidR="000E186C" w:rsidRPr="00AF75C0">
        <w:rPr>
          <w:i/>
        </w:rPr>
        <w:t>ve</w:t>
      </w:r>
      <w:r w:rsidR="00364DC4" w:rsidRPr="00AF75C0">
        <w:rPr>
          <w:i/>
        </w:rPr>
        <w:t xml:space="preserve"> to be specified for n * 20 MHz channel transmission BW for NR-U.</w:t>
      </w:r>
      <w:r w:rsidR="000E186C" w:rsidRPr="00AF75C0">
        <w:rPr>
          <w:i/>
        </w:rPr>
        <w:t xml:space="preserve"> RAN4 is further discussing what would be the </w:t>
      </w:r>
      <w:r w:rsidR="00AF75C0" w:rsidRPr="00AF75C0">
        <w:rPr>
          <w:i/>
        </w:rPr>
        <w:t>feasible ACS values for NR-U from gNB and UE point of view.</w:t>
      </w:r>
    </w:p>
    <w:p w14:paraId="26B11B04" w14:textId="2DE6C21F" w:rsidR="00665EA8" w:rsidRPr="00AF75C0" w:rsidRDefault="00665EA8" w:rsidP="00AF75C0">
      <w:pPr>
        <w:overflowPunct/>
        <w:autoSpaceDE/>
        <w:autoSpaceDN/>
        <w:adjustRightInd/>
        <w:jc w:val="both"/>
        <w:textAlignment w:val="auto"/>
      </w:pPr>
      <w:r w:rsidRPr="00AF75C0">
        <w:rPr>
          <w:b/>
        </w:rPr>
        <w:t>Question 2</w:t>
      </w:r>
      <w:r w:rsidRPr="00AF75C0">
        <w:t>: Will guard bands be needed at the edges of each “LBT sub-band”?</w:t>
      </w:r>
    </w:p>
    <w:p w14:paraId="7F8488F2" w14:textId="17DA685E" w:rsidR="00662D78" w:rsidRPr="009030A9" w:rsidRDefault="00AF75C0">
      <w:pPr>
        <w:jc w:val="both"/>
        <w:rPr>
          <w:i/>
          <w:iCs/>
        </w:rPr>
      </w:pPr>
      <w:r w:rsidRPr="008D463B">
        <w:rPr>
          <w:b/>
          <w:bCs/>
        </w:rPr>
        <w:t>Answer:</w:t>
      </w:r>
      <w:r>
        <w:t xml:space="preserve"> </w:t>
      </w:r>
      <w:r w:rsidRPr="008D463B">
        <w:rPr>
          <w:i/>
          <w:iCs/>
        </w:rPr>
        <w:t>For contiguous TX</w:t>
      </w:r>
      <w:r w:rsidR="00662D78" w:rsidRPr="008D463B">
        <w:rPr>
          <w:i/>
          <w:iCs/>
        </w:rPr>
        <w:t xml:space="preserve"> </w:t>
      </w:r>
      <w:r w:rsidRPr="008D463B">
        <w:rPr>
          <w:i/>
          <w:iCs/>
        </w:rPr>
        <w:t>bandwidth</w:t>
      </w:r>
      <w:r w:rsidR="00662D78" w:rsidRPr="008D463B">
        <w:rPr>
          <w:i/>
          <w:iCs/>
        </w:rPr>
        <w:t>, guard</w:t>
      </w:r>
      <w:r w:rsidR="00A22B08" w:rsidRPr="008D463B">
        <w:rPr>
          <w:i/>
          <w:iCs/>
        </w:rPr>
        <w:t xml:space="preserve"> </w:t>
      </w:r>
      <w:r w:rsidR="00662D78" w:rsidRPr="008D463B">
        <w:rPr>
          <w:i/>
          <w:iCs/>
        </w:rPr>
        <w:t>band</w:t>
      </w:r>
      <w:r w:rsidRPr="008D463B">
        <w:rPr>
          <w:i/>
          <w:iCs/>
        </w:rPr>
        <w:t>s between transmitted sub-bands</w:t>
      </w:r>
      <w:r w:rsidR="00662D78" w:rsidRPr="008D463B">
        <w:rPr>
          <w:i/>
          <w:iCs/>
        </w:rPr>
        <w:t xml:space="preserve"> are not ne</w:t>
      </w:r>
      <w:r w:rsidRPr="008D463B">
        <w:rPr>
          <w:i/>
          <w:iCs/>
        </w:rPr>
        <w:t>cessary from transmission point of view</w:t>
      </w:r>
      <w:r w:rsidR="00662D78" w:rsidRPr="008D463B">
        <w:rPr>
          <w:i/>
          <w:iCs/>
        </w:rPr>
        <w:t xml:space="preserve">. </w:t>
      </w:r>
      <w:r w:rsidR="00A22B08" w:rsidRPr="008D463B">
        <w:rPr>
          <w:i/>
          <w:iCs/>
        </w:rPr>
        <w:t>RAN4 is still discussing on the</w:t>
      </w:r>
      <w:r w:rsidR="008D463B">
        <w:rPr>
          <w:i/>
          <w:iCs/>
        </w:rPr>
        <w:t xml:space="preserve"> width</w:t>
      </w:r>
      <w:r w:rsidR="00A22B08" w:rsidRPr="008D463B">
        <w:rPr>
          <w:i/>
          <w:iCs/>
        </w:rPr>
        <w:t xml:space="preserve"> </w:t>
      </w:r>
      <w:r w:rsidR="008D463B">
        <w:rPr>
          <w:i/>
          <w:iCs/>
        </w:rPr>
        <w:t xml:space="preserve">of </w:t>
      </w:r>
      <w:r w:rsidR="00A22B08" w:rsidRPr="008D463B">
        <w:rPr>
          <w:i/>
          <w:iCs/>
        </w:rPr>
        <w:t xml:space="preserve">guard bands at the edges of </w:t>
      </w:r>
      <w:r w:rsidR="008D463B">
        <w:rPr>
          <w:i/>
          <w:iCs/>
        </w:rPr>
        <w:t>NR-U</w:t>
      </w:r>
      <w:r w:rsidR="008D463B" w:rsidRPr="008D463B">
        <w:rPr>
          <w:i/>
          <w:iCs/>
        </w:rPr>
        <w:t xml:space="preserve"> </w:t>
      </w:r>
      <w:r w:rsidR="00A22B08" w:rsidRPr="008D463B">
        <w:rPr>
          <w:i/>
          <w:iCs/>
        </w:rPr>
        <w:t xml:space="preserve">transmission. </w:t>
      </w:r>
      <w:r w:rsidR="00662D78" w:rsidRPr="008D463B">
        <w:rPr>
          <w:i/>
          <w:iCs/>
        </w:rPr>
        <w:t>From reception point of view, RAN4 is still discussing.</w:t>
      </w:r>
    </w:p>
    <w:p w14:paraId="6DB176B4" w14:textId="7CE6A665" w:rsidR="00665EA8" w:rsidRPr="00AF75C0" w:rsidRDefault="00665EA8" w:rsidP="00AF75C0">
      <w:pPr>
        <w:overflowPunct/>
        <w:autoSpaceDE/>
        <w:autoSpaceDN/>
        <w:adjustRightInd/>
        <w:spacing w:after="0"/>
        <w:jc w:val="both"/>
        <w:textAlignment w:val="auto"/>
      </w:pPr>
      <w:r w:rsidRPr="00AF75C0">
        <w:rPr>
          <w:b/>
        </w:rPr>
        <w:t>Question 3</w:t>
      </w:r>
      <w:r w:rsidRPr="00AF75C0">
        <w:t xml:space="preserve">: </w:t>
      </w:r>
      <w:bookmarkStart w:id="1" w:name="_Hlk525638264"/>
      <w:r w:rsidRPr="00AF75C0">
        <w:t>If yes to either of the above questions, could RAN4 provide a feasibility assessment on the development of such RF requirements? Please consider at least the following aspects:</w:t>
      </w:r>
      <w:bookmarkEnd w:id="1"/>
    </w:p>
    <w:p w14:paraId="4C23BB0B" w14:textId="77777777" w:rsidR="00665EA8" w:rsidRPr="00AF75C0" w:rsidRDefault="00665EA8" w:rsidP="00AF75C0">
      <w:pPr>
        <w:numPr>
          <w:ilvl w:val="1"/>
          <w:numId w:val="47"/>
        </w:numPr>
        <w:overflowPunct/>
        <w:autoSpaceDE/>
        <w:autoSpaceDN/>
        <w:adjustRightInd/>
        <w:spacing w:after="0"/>
        <w:jc w:val="both"/>
        <w:textAlignment w:val="auto"/>
      </w:pPr>
      <w:r w:rsidRPr="00AF75C0">
        <w:t>Transmission to/from one UE on either contiguous or non-contiguous “LBT sub-bands” within a carrier and combinations thereof</w:t>
      </w:r>
    </w:p>
    <w:p w14:paraId="11CB8551" w14:textId="77777777" w:rsidR="00665EA8" w:rsidRPr="00AF75C0" w:rsidRDefault="00665EA8" w:rsidP="00AF75C0">
      <w:pPr>
        <w:numPr>
          <w:ilvl w:val="1"/>
          <w:numId w:val="47"/>
        </w:numPr>
        <w:overflowPunct/>
        <w:autoSpaceDE/>
        <w:autoSpaceDN/>
        <w:adjustRightInd/>
        <w:spacing w:after="0"/>
        <w:jc w:val="both"/>
        <w:textAlignment w:val="auto"/>
      </w:pPr>
      <w:r w:rsidRPr="00AF75C0">
        <w:lastRenderedPageBreak/>
        <w:t>RF filtering aspects at both the base station (BS) and UE including time required to adapt filtering to meet new RF requirements, and whether RF filtering would be adaptive or not</w:t>
      </w:r>
    </w:p>
    <w:p w14:paraId="47C6329E" w14:textId="77777777" w:rsidR="00665EA8" w:rsidRPr="00AF75C0" w:rsidRDefault="00665EA8" w:rsidP="00AF75C0">
      <w:pPr>
        <w:numPr>
          <w:ilvl w:val="1"/>
          <w:numId w:val="47"/>
        </w:numPr>
        <w:overflowPunct/>
        <w:autoSpaceDE/>
        <w:autoSpaceDN/>
        <w:adjustRightInd/>
        <w:spacing w:after="0"/>
        <w:jc w:val="both"/>
        <w:textAlignment w:val="auto"/>
      </w:pPr>
      <w:r w:rsidRPr="00AF75C0">
        <w:t>Whether or not the requirements are different for the options listed in the above RAN1 agreement</w:t>
      </w:r>
    </w:p>
    <w:p w14:paraId="1990A819" w14:textId="77777777" w:rsidR="00665EA8" w:rsidRPr="00AF75C0" w:rsidRDefault="00665EA8" w:rsidP="00AF75C0">
      <w:pPr>
        <w:numPr>
          <w:ilvl w:val="1"/>
          <w:numId w:val="47"/>
        </w:numPr>
        <w:overflowPunct/>
        <w:autoSpaceDE/>
        <w:autoSpaceDN/>
        <w:adjustRightInd/>
        <w:spacing w:after="0"/>
        <w:jc w:val="both"/>
        <w:textAlignment w:val="auto"/>
      </w:pPr>
      <w:r w:rsidRPr="00AF75C0">
        <w:t>Whether or not the requirements can be the same as for CA but defined to apply within a wideband carrier</w:t>
      </w:r>
    </w:p>
    <w:p w14:paraId="148C842C" w14:textId="5D8E936F" w:rsidR="00665EA8" w:rsidRPr="00AF75C0" w:rsidRDefault="00665EA8" w:rsidP="00AF75C0">
      <w:pPr>
        <w:spacing w:after="0"/>
        <w:jc w:val="both"/>
      </w:pPr>
    </w:p>
    <w:p w14:paraId="3525C319" w14:textId="06FA75ED" w:rsidR="00624D71" w:rsidRDefault="00AF75C0" w:rsidP="00AF75C0">
      <w:pPr>
        <w:spacing w:after="0"/>
        <w:jc w:val="both"/>
      </w:pPr>
      <w:r w:rsidRPr="00EE1FD1">
        <w:rPr>
          <w:b/>
          <w:bCs/>
        </w:rPr>
        <w:t>Answer:</w:t>
      </w:r>
      <w:r>
        <w:t xml:space="preserve"> </w:t>
      </w:r>
      <w:r w:rsidR="00662D78" w:rsidRPr="05893274">
        <w:rPr>
          <w:i/>
          <w:iCs/>
        </w:rPr>
        <w:t xml:space="preserve">At least for contiguous </w:t>
      </w:r>
      <w:r w:rsidRPr="05893274">
        <w:rPr>
          <w:i/>
          <w:iCs/>
        </w:rPr>
        <w:t>TX bandwidth</w:t>
      </w:r>
      <w:r w:rsidR="00662D78" w:rsidRPr="05893274">
        <w:rPr>
          <w:i/>
          <w:iCs/>
        </w:rPr>
        <w:t>, developing requirements should be the same as</w:t>
      </w:r>
      <w:r w:rsidRPr="05893274">
        <w:rPr>
          <w:i/>
          <w:iCs/>
        </w:rPr>
        <w:t xml:space="preserve"> for</w:t>
      </w:r>
      <w:r w:rsidR="00662D78" w:rsidRPr="05893274">
        <w:rPr>
          <w:i/>
          <w:iCs/>
        </w:rPr>
        <w:t xml:space="preserve"> LAA CA, except</w:t>
      </w:r>
      <w:r w:rsidR="00854CCF" w:rsidRPr="05893274">
        <w:rPr>
          <w:i/>
          <w:iCs/>
        </w:rPr>
        <w:t xml:space="preserve"> that</w:t>
      </w:r>
      <w:r w:rsidR="00662D78" w:rsidRPr="05893274">
        <w:rPr>
          <w:i/>
          <w:iCs/>
        </w:rPr>
        <w:t xml:space="preserve"> requirements need to be defined also for transmissions </w:t>
      </w:r>
      <w:r w:rsidR="00854CCF" w:rsidRPr="05893274">
        <w:rPr>
          <w:i/>
          <w:iCs/>
        </w:rPr>
        <w:t xml:space="preserve">with </w:t>
      </w:r>
      <w:r w:rsidR="00662D78" w:rsidRPr="05893274">
        <w:rPr>
          <w:i/>
          <w:iCs/>
        </w:rPr>
        <w:t xml:space="preserve">n * 20 MHz (2 </w:t>
      </w:r>
      <w:r w:rsidR="00662D78" w:rsidRPr="05893274">
        <w:rPr>
          <w:rFonts w:hint="eastAsia"/>
          <w:i/>
          <w:iCs/>
        </w:rPr>
        <w:t>≤</w:t>
      </w:r>
      <w:r w:rsidR="00662D78" w:rsidRPr="05893274">
        <w:rPr>
          <w:i/>
          <w:iCs/>
        </w:rPr>
        <w:t xml:space="preserve"> n </w:t>
      </w:r>
      <w:r w:rsidR="00662D78" w:rsidRPr="05893274">
        <w:rPr>
          <w:rFonts w:hint="eastAsia"/>
          <w:i/>
          <w:iCs/>
        </w:rPr>
        <w:t>≤</w:t>
      </w:r>
      <w:r w:rsidR="00662D78" w:rsidRPr="05893274">
        <w:rPr>
          <w:i/>
          <w:iCs/>
        </w:rPr>
        <w:t xml:space="preserve"> [4]). In case of options 1a and 1b</w:t>
      </w:r>
      <w:r w:rsidR="00854CCF" w:rsidRPr="05893274">
        <w:rPr>
          <w:i/>
          <w:iCs/>
        </w:rPr>
        <w:t>,</w:t>
      </w:r>
      <w:r w:rsidR="00662D78" w:rsidRPr="05893274">
        <w:rPr>
          <w:i/>
          <w:iCs/>
        </w:rPr>
        <w:t xml:space="preserve"> since active BWPs may be overlapping </w:t>
      </w:r>
      <w:r w:rsidR="00854CCF" w:rsidRPr="05893274">
        <w:rPr>
          <w:i/>
          <w:iCs/>
        </w:rPr>
        <w:t xml:space="preserve">and </w:t>
      </w:r>
      <w:r w:rsidR="00662D78" w:rsidRPr="05893274">
        <w:rPr>
          <w:i/>
          <w:iCs/>
        </w:rPr>
        <w:t>have different SCSs, RAN4 would need to further discuss, because RAN4 has not considered multiple active BWPs within a serving cell in NR R15.</w:t>
      </w:r>
      <w:r w:rsidR="00662D78">
        <w:t xml:space="preserve">     </w:t>
      </w:r>
    </w:p>
    <w:p w14:paraId="50C2341A" w14:textId="77777777" w:rsidR="00662D78" w:rsidRPr="0048748C" w:rsidRDefault="00662D78" w:rsidP="00BC4958">
      <w:pPr>
        <w:spacing w:after="0"/>
        <w:jc w:val="both"/>
        <w:rPr>
          <w:i/>
        </w:rPr>
      </w:pPr>
    </w:p>
    <w:p w14:paraId="0D827FAF" w14:textId="69C17612" w:rsidR="0034111C" w:rsidRPr="00A51522" w:rsidRDefault="00EE7FA7">
      <w:pPr>
        <w:pStyle w:val="Heading1"/>
        <w:rPr>
          <w:color w:val="000000"/>
        </w:rPr>
      </w:pPr>
      <w:r w:rsidRPr="00A51522">
        <w:rPr>
          <w:color w:val="000000"/>
        </w:rPr>
        <w:t>Conclusion</w:t>
      </w:r>
      <w:r w:rsidR="00DB39D4" w:rsidRPr="00A51522">
        <w:rPr>
          <w:color w:val="000000"/>
        </w:rPr>
        <w:t>s</w:t>
      </w:r>
    </w:p>
    <w:p w14:paraId="626917E1" w14:textId="55CCB2C6" w:rsidR="00731B79" w:rsidRDefault="003D3FBA" w:rsidP="14CAD5E4">
      <w:pPr>
        <w:spacing w:after="120"/>
        <w:jc w:val="both"/>
        <w:rPr>
          <w:bCs/>
        </w:rPr>
      </w:pPr>
      <w:r w:rsidRPr="00A51522">
        <w:t>In this contribution</w:t>
      </w:r>
      <w:r w:rsidR="009251C8">
        <w:t>,</w:t>
      </w:r>
      <w:r w:rsidRPr="00A51522">
        <w:t xml:space="preserve"> we have discussed </w:t>
      </w:r>
      <w:r w:rsidR="00DA2210">
        <w:rPr>
          <w:lang w:val="en-US" w:eastAsia="fi-FI"/>
        </w:rPr>
        <w:t>wideband operation</w:t>
      </w:r>
      <w:r w:rsidR="006060C2" w:rsidRPr="00ED270C">
        <w:t>.</w:t>
      </w:r>
      <w:r w:rsidR="00342AD2" w:rsidRPr="00ED270C">
        <w:t xml:space="preserve"> Based on the discussion, we make the following</w:t>
      </w:r>
      <w:r w:rsidR="00A643E0" w:rsidRPr="00ED270C">
        <w:t xml:space="preserve"> </w:t>
      </w:r>
      <w:r w:rsidR="00342AD2" w:rsidRPr="00ED270C">
        <w:t>proposal</w:t>
      </w:r>
      <w:r w:rsidR="006060C2" w:rsidRPr="00ED270C">
        <w:t>s</w:t>
      </w:r>
      <w:r w:rsidR="00A64AE7" w:rsidRPr="00ED270C">
        <w:t xml:space="preserve"> and observation</w:t>
      </w:r>
      <w:r w:rsidR="00EF5E0D">
        <w:t>s</w:t>
      </w:r>
      <w:r w:rsidR="00AF75C0">
        <w:t xml:space="preserve"> and provided answers to RAN1 LS</w:t>
      </w:r>
      <w:r w:rsidR="00342AD2" w:rsidRPr="00ED270C">
        <w:t>:</w:t>
      </w:r>
    </w:p>
    <w:p w14:paraId="3434D9D3" w14:textId="5D26B8AF" w:rsidR="00DF3E41" w:rsidRPr="00050EBC" w:rsidRDefault="00DF3E41" w:rsidP="00DF3E41">
      <w:pPr>
        <w:jc w:val="both"/>
        <w:rPr>
          <w:i/>
        </w:rPr>
      </w:pPr>
      <w:r w:rsidRPr="00050EBC">
        <w:rPr>
          <w:b/>
          <w:i/>
        </w:rPr>
        <w:t>Observation 1:</w:t>
      </w:r>
      <w:r w:rsidRPr="00050EBC">
        <w:rPr>
          <w:i/>
        </w:rPr>
        <w:t xml:space="preserve"> </w:t>
      </w:r>
      <w:r>
        <w:rPr>
          <w:i/>
        </w:rPr>
        <w:t xml:space="preserve">NR-U BWP </w:t>
      </w:r>
      <w:r w:rsidRPr="00050EBC">
        <w:rPr>
          <w:i/>
        </w:rPr>
        <w:t xml:space="preserve">Option 2 and Option 3 are based on single active </w:t>
      </w:r>
      <w:r>
        <w:rPr>
          <w:i/>
        </w:rPr>
        <w:t xml:space="preserve">NR R15 </w:t>
      </w:r>
      <w:r w:rsidRPr="00050EBC">
        <w:rPr>
          <w:i/>
        </w:rPr>
        <w:t>BWP</w:t>
      </w:r>
      <w:r>
        <w:rPr>
          <w:i/>
        </w:rPr>
        <w:t xml:space="preserve"> in a serving cell.</w:t>
      </w:r>
      <w:r w:rsidRPr="00050EBC">
        <w:rPr>
          <w:i/>
        </w:rPr>
        <w:t xml:space="preserve"> </w:t>
      </w:r>
      <w:r>
        <w:rPr>
          <w:i/>
        </w:rPr>
        <w:t>I</w:t>
      </w:r>
      <w:r w:rsidRPr="00050EBC">
        <w:rPr>
          <w:i/>
        </w:rPr>
        <w:t>n Option 3 (unlike in Option 2) transmission BW varies as outcome of LBT</w:t>
      </w:r>
      <w:r>
        <w:rPr>
          <w:i/>
        </w:rPr>
        <w:t>. UE receives on the single active BWP within the transmission BW.</w:t>
      </w:r>
    </w:p>
    <w:p w14:paraId="6A953D28" w14:textId="00104C42" w:rsidR="00DF3E41" w:rsidRPr="009030A9" w:rsidRDefault="00DF3E41" w:rsidP="009030A9">
      <w:pPr>
        <w:spacing w:after="0"/>
        <w:jc w:val="both"/>
        <w:rPr>
          <w:i/>
          <w:iCs/>
        </w:rPr>
      </w:pPr>
      <w:r w:rsidRPr="008D463B">
        <w:rPr>
          <w:b/>
          <w:bCs/>
          <w:i/>
          <w:iCs/>
        </w:rPr>
        <w:t>Observation 2:</w:t>
      </w:r>
      <w:r>
        <w:t xml:space="preserve"> </w:t>
      </w:r>
      <w:r w:rsidRPr="008D463B">
        <w:rPr>
          <w:i/>
          <w:iCs/>
        </w:rPr>
        <w:t xml:space="preserve">NR-U BWP Option 1a and 1b operate with multiple active NR R15 BWPs in a single serving cell. In option 1a, multiple active BWPs are received by a UE at the given time. In option </w:t>
      </w:r>
      <w:r w:rsidR="0054644D" w:rsidRPr="008D463B">
        <w:rPr>
          <w:i/>
          <w:iCs/>
        </w:rPr>
        <w:t>1</w:t>
      </w:r>
      <w:r w:rsidRPr="008D463B">
        <w:rPr>
          <w:i/>
          <w:iCs/>
        </w:rPr>
        <w:t xml:space="preserve">b, only one active BWP is received given the LBT outcome. </w:t>
      </w:r>
    </w:p>
    <w:p w14:paraId="1E503EA4" w14:textId="77777777" w:rsidR="00DF3E41" w:rsidRDefault="00DF3E41" w:rsidP="00DF3E41">
      <w:pPr>
        <w:spacing w:after="0"/>
        <w:jc w:val="both"/>
        <w:rPr>
          <w:i/>
        </w:rPr>
      </w:pPr>
    </w:p>
    <w:p w14:paraId="047D8860" w14:textId="2B6B63A6" w:rsidR="00DF3E41" w:rsidRPr="0048748C" w:rsidRDefault="00DF3E41" w:rsidP="00DF3E41">
      <w:pPr>
        <w:jc w:val="both"/>
        <w:rPr>
          <w:rFonts w:cs="Arial"/>
          <w:color w:val="000000" w:themeColor="text1"/>
        </w:rPr>
      </w:pPr>
      <w:r w:rsidRPr="008E67FC">
        <w:rPr>
          <w:rFonts w:cs="Arial"/>
          <w:b/>
          <w:color w:val="000000" w:themeColor="text1"/>
        </w:rPr>
        <w:t>Observation</w:t>
      </w:r>
      <w:r>
        <w:rPr>
          <w:rFonts w:cs="Arial"/>
          <w:b/>
          <w:color w:val="000000" w:themeColor="text1"/>
        </w:rPr>
        <w:t xml:space="preserve"> 3</w:t>
      </w:r>
      <w:r w:rsidRPr="008E67FC">
        <w:rPr>
          <w:rFonts w:cs="Arial"/>
          <w:b/>
          <w:i/>
          <w:color w:val="000000" w:themeColor="text1"/>
        </w:rPr>
        <w:t>:</w:t>
      </w:r>
      <w:r w:rsidRPr="008E67FC">
        <w:rPr>
          <w:rFonts w:cs="Arial"/>
          <w:i/>
          <w:color w:val="000000" w:themeColor="text1"/>
        </w:rPr>
        <w:t xml:space="preserve"> </w:t>
      </w:r>
      <w:r>
        <w:rPr>
          <w:rFonts w:cs="Arial"/>
          <w:i/>
          <w:color w:val="000000" w:themeColor="text1"/>
        </w:rPr>
        <w:t xml:space="preserve">Configuring </w:t>
      </w:r>
      <w:r w:rsidRPr="008E67FC">
        <w:rPr>
          <w:rFonts w:cs="Arial"/>
          <w:i/>
          <w:color w:val="000000" w:themeColor="text1"/>
        </w:rPr>
        <w:t>NR BWP for each combination of channels</w:t>
      </w:r>
      <w:r>
        <w:rPr>
          <w:rFonts w:cs="Arial"/>
          <w:i/>
          <w:color w:val="000000" w:themeColor="text1"/>
        </w:rPr>
        <w:t xml:space="preserve"> (Option 1)</w:t>
      </w:r>
      <w:r w:rsidRPr="008E67FC">
        <w:rPr>
          <w:rFonts w:cs="Arial"/>
          <w:i/>
          <w:color w:val="000000" w:themeColor="text1"/>
        </w:rPr>
        <w:t xml:space="preserve"> would result in large number (e.g. 10) of BWPs</w:t>
      </w:r>
      <w:r>
        <w:rPr>
          <w:rFonts w:cs="Arial"/>
          <w:i/>
          <w:color w:val="000000" w:themeColor="text1"/>
        </w:rPr>
        <w:t xml:space="preserve"> to be configured</w:t>
      </w:r>
      <w:r w:rsidRPr="008E67FC">
        <w:rPr>
          <w:rFonts w:cs="Arial"/>
          <w:i/>
          <w:color w:val="000000" w:themeColor="text1"/>
        </w:rPr>
        <w:t>, while NR R15 support</w:t>
      </w:r>
      <w:r>
        <w:rPr>
          <w:rFonts w:cs="Arial"/>
          <w:i/>
          <w:color w:val="000000" w:themeColor="text1"/>
        </w:rPr>
        <w:t>s only</w:t>
      </w:r>
      <w:r w:rsidRPr="008E67FC">
        <w:rPr>
          <w:rFonts w:cs="Arial"/>
          <w:i/>
          <w:color w:val="000000" w:themeColor="text1"/>
        </w:rPr>
        <w:t xml:space="preserve"> up to 4 BWPs and mandatory feature 6-1 only</w:t>
      </w:r>
      <w:r>
        <w:rPr>
          <w:rFonts w:cs="Arial"/>
          <w:i/>
          <w:color w:val="000000" w:themeColor="text1"/>
        </w:rPr>
        <w:t xml:space="preserve"> up to</w:t>
      </w:r>
      <w:r w:rsidRPr="008E67FC">
        <w:rPr>
          <w:rFonts w:cs="Arial"/>
          <w:i/>
          <w:color w:val="000000" w:themeColor="text1"/>
        </w:rPr>
        <w:t xml:space="preserve"> 2 BWPs.</w:t>
      </w:r>
    </w:p>
    <w:p w14:paraId="5EE57595" w14:textId="77777777" w:rsidR="00DF3E41" w:rsidRPr="0048748C" w:rsidRDefault="00DF3E41" w:rsidP="00DF3E41">
      <w:pPr>
        <w:jc w:val="both"/>
        <w:rPr>
          <w:rFonts w:cs="Arial"/>
          <w:color w:val="000000" w:themeColor="text1"/>
        </w:rPr>
      </w:pPr>
      <w:r w:rsidRPr="002B53A6">
        <w:rPr>
          <w:rFonts w:cs="Arial"/>
          <w:b/>
          <w:i/>
          <w:color w:val="000000" w:themeColor="text1"/>
        </w:rPr>
        <w:t>Observation 4:</w:t>
      </w:r>
      <w:r w:rsidRPr="008E67FC">
        <w:rPr>
          <w:rFonts w:cs="Arial"/>
          <w:i/>
          <w:color w:val="000000" w:themeColor="text1"/>
        </w:rPr>
        <w:t xml:space="preserve"> </w:t>
      </w:r>
      <w:r>
        <w:rPr>
          <w:rFonts w:cs="Arial"/>
          <w:i/>
          <w:color w:val="000000" w:themeColor="text1"/>
        </w:rPr>
        <w:t>Option 1a would require multiple BBs per serving cell and Option 1b would require multiple BBs or BB adaptation as outcome of LBT</w:t>
      </w:r>
      <w:r w:rsidRPr="008E67FC">
        <w:rPr>
          <w:rFonts w:cs="Arial"/>
          <w:i/>
          <w:color w:val="000000" w:themeColor="text1"/>
        </w:rPr>
        <w:t>.</w:t>
      </w:r>
      <w:r>
        <w:rPr>
          <w:rFonts w:cs="Arial"/>
          <w:i/>
          <w:color w:val="000000" w:themeColor="text1"/>
        </w:rPr>
        <w:t xml:space="preserve"> Option 2/3 can be implemented with a single BB. </w:t>
      </w:r>
    </w:p>
    <w:p w14:paraId="23DCC380" w14:textId="138D91D0" w:rsidR="00DF3E41" w:rsidRPr="0048748C" w:rsidRDefault="00DF3E41" w:rsidP="00DF3E41">
      <w:pPr>
        <w:jc w:val="both"/>
        <w:rPr>
          <w:rFonts w:cs="Arial"/>
          <w:i/>
          <w:color w:val="000000" w:themeColor="text1"/>
        </w:rPr>
      </w:pPr>
      <w:r w:rsidRPr="0048748C">
        <w:rPr>
          <w:rFonts w:cs="Arial"/>
          <w:b/>
          <w:i/>
          <w:color w:val="000000" w:themeColor="text1"/>
        </w:rPr>
        <w:t>Proposal</w:t>
      </w:r>
      <w:r>
        <w:rPr>
          <w:rFonts w:cs="Arial"/>
          <w:b/>
          <w:i/>
          <w:color w:val="000000" w:themeColor="text1"/>
        </w:rPr>
        <w:t xml:space="preserve"> 1</w:t>
      </w:r>
      <w:r w:rsidRPr="0048748C">
        <w:rPr>
          <w:rFonts w:cs="Arial"/>
          <w:b/>
          <w:i/>
          <w:color w:val="000000" w:themeColor="text1"/>
        </w:rPr>
        <w:t>:</w:t>
      </w:r>
      <w:r w:rsidRPr="0048748C">
        <w:rPr>
          <w:rFonts w:cs="Arial"/>
          <w:i/>
          <w:color w:val="000000" w:themeColor="text1"/>
        </w:rPr>
        <w:t xml:space="preserve"> NR-U design of agile T</w:t>
      </w:r>
      <w:r>
        <w:rPr>
          <w:rFonts w:cs="Arial"/>
          <w:i/>
          <w:color w:val="000000" w:themeColor="text1"/>
        </w:rPr>
        <w:t>X</w:t>
      </w:r>
      <w:r w:rsidRPr="0048748C">
        <w:rPr>
          <w:rFonts w:cs="Arial"/>
          <w:i/>
          <w:color w:val="000000" w:themeColor="text1"/>
        </w:rPr>
        <w:t xml:space="preserve"> </w:t>
      </w:r>
      <w:r>
        <w:rPr>
          <w:rFonts w:cs="Arial"/>
          <w:i/>
          <w:color w:val="000000" w:themeColor="text1"/>
        </w:rPr>
        <w:t>bandwidth</w:t>
      </w:r>
      <w:r w:rsidRPr="0048748C">
        <w:rPr>
          <w:rFonts w:cs="Arial"/>
          <w:i/>
          <w:color w:val="000000" w:themeColor="text1"/>
        </w:rPr>
        <w:t xml:space="preserve"> adaptation due to LBT operates independently</w:t>
      </w:r>
      <w:r w:rsidR="00854CCF">
        <w:rPr>
          <w:rFonts w:cs="Arial"/>
          <w:i/>
          <w:color w:val="000000" w:themeColor="text1"/>
        </w:rPr>
        <w:t xml:space="preserve"> of </w:t>
      </w:r>
      <w:r>
        <w:rPr>
          <w:rFonts w:cs="Arial"/>
          <w:i/>
          <w:color w:val="000000" w:themeColor="text1"/>
        </w:rPr>
        <w:t>/on top</w:t>
      </w:r>
      <w:r w:rsidRPr="0048748C">
        <w:rPr>
          <w:rFonts w:cs="Arial"/>
          <w:i/>
          <w:color w:val="000000" w:themeColor="text1"/>
        </w:rPr>
        <w:t xml:space="preserve"> of NR R15 BWP </w:t>
      </w:r>
      <w:r>
        <w:rPr>
          <w:rFonts w:cs="Arial"/>
          <w:i/>
          <w:color w:val="000000" w:themeColor="text1"/>
        </w:rPr>
        <w:t>adaptation (Option 3)</w:t>
      </w:r>
      <w:r w:rsidRPr="0048748C">
        <w:rPr>
          <w:rFonts w:cs="Arial"/>
          <w:i/>
          <w:color w:val="000000" w:themeColor="text1"/>
        </w:rPr>
        <w:t xml:space="preserve">    </w:t>
      </w:r>
    </w:p>
    <w:p w14:paraId="6744CE54" w14:textId="2F1F8AA0" w:rsidR="00DF3E41" w:rsidRPr="0054644D" w:rsidRDefault="00DF3E41" w:rsidP="00DF3E41">
      <w:pPr>
        <w:jc w:val="both"/>
        <w:rPr>
          <w:rFonts w:cs="Arial"/>
          <w:i/>
          <w:color w:val="000000" w:themeColor="text1"/>
        </w:rPr>
      </w:pPr>
      <w:r w:rsidRPr="00624D71">
        <w:rPr>
          <w:rFonts w:cs="Arial"/>
          <w:b/>
          <w:i/>
          <w:color w:val="000000" w:themeColor="text1"/>
        </w:rPr>
        <w:t>Proposal 2</w:t>
      </w:r>
      <w:r>
        <w:rPr>
          <w:rFonts w:cs="Arial"/>
          <w:b/>
          <w:i/>
          <w:color w:val="000000" w:themeColor="text1"/>
        </w:rPr>
        <w:t xml:space="preserve">: </w:t>
      </w:r>
      <w:r w:rsidRPr="00624D71">
        <w:rPr>
          <w:rFonts w:cs="Arial"/>
          <w:i/>
          <w:color w:val="000000" w:themeColor="text1"/>
        </w:rPr>
        <w:t>T</w:t>
      </w:r>
      <w:r>
        <w:rPr>
          <w:rFonts w:cs="Arial"/>
          <w:i/>
          <w:color w:val="000000" w:themeColor="text1"/>
        </w:rPr>
        <w:t>X bandwidth</w:t>
      </w:r>
      <w:r w:rsidRPr="00624D71">
        <w:rPr>
          <w:rFonts w:cs="Arial"/>
          <w:i/>
          <w:color w:val="000000" w:themeColor="text1"/>
        </w:rPr>
        <w:t xml:space="preserve"> adaptation within gNB carrier as well as UE carrier (BWP) is feasible without guard bands between contiguously transmitted sub-bands. </w:t>
      </w:r>
      <w:r>
        <w:rPr>
          <w:rFonts w:cs="Arial"/>
          <w:i/>
          <w:color w:val="000000" w:themeColor="text1"/>
        </w:rPr>
        <w:t xml:space="preserve">ACLR requirements need to be defined for n * 20 MHz </w:t>
      </w:r>
      <w:r w:rsidRPr="009030A9">
        <w:rPr>
          <w:rFonts w:cs="Arial"/>
          <w:i/>
          <w:color w:val="000000" w:themeColor="text1"/>
        </w:rPr>
        <w:t>channel TX bandwidth for NR-U.</w:t>
      </w:r>
    </w:p>
    <w:p w14:paraId="55AC5BA2" w14:textId="77777777" w:rsidR="00DF3E41" w:rsidRDefault="00DF3E41" w:rsidP="00DF3E41">
      <w:pPr>
        <w:jc w:val="both"/>
        <w:rPr>
          <w:rFonts w:cs="Arial"/>
          <w:i/>
          <w:color w:val="000000" w:themeColor="text1"/>
        </w:rPr>
      </w:pPr>
      <w:r>
        <w:rPr>
          <w:rFonts w:cs="Arial"/>
          <w:b/>
          <w:color w:val="000000" w:themeColor="text1"/>
        </w:rPr>
        <w:t>Observation-5</w:t>
      </w:r>
      <w:r w:rsidRPr="003844DF">
        <w:rPr>
          <w:rFonts w:cs="Arial"/>
          <w:color w:val="000000" w:themeColor="text1"/>
        </w:rPr>
        <w:t xml:space="preserve">: </w:t>
      </w:r>
      <w:r>
        <w:rPr>
          <w:rFonts w:cs="Arial"/>
          <w:i/>
          <w:color w:val="000000" w:themeColor="text1"/>
        </w:rPr>
        <w:t xml:space="preserve">It is </w:t>
      </w:r>
      <w:r w:rsidRPr="003844DF">
        <w:rPr>
          <w:rFonts w:cs="Arial"/>
          <w:i/>
          <w:color w:val="000000" w:themeColor="text1"/>
        </w:rPr>
        <w:t>feasib</w:t>
      </w:r>
      <w:r>
        <w:rPr>
          <w:rFonts w:cs="Arial"/>
          <w:i/>
          <w:color w:val="000000" w:themeColor="text1"/>
        </w:rPr>
        <w:t>le</w:t>
      </w:r>
      <w:r w:rsidRPr="003844DF">
        <w:rPr>
          <w:rFonts w:cs="Arial"/>
          <w:i/>
          <w:color w:val="000000" w:themeColor="text1"/>
        </w:rPr>
        <w:t xml:space="preserve"> </w:t>
      </w:r>
      <w:r>
        <w:rPr>
          <w:rFonts w:cs="Arial"/>
          <w:i/>
          <w:color w:val="000000" w:themeColor="text1"/>
        </w:rPr>
        <w:t>to</w:t>
      </w:r>
      <w:r w:rsidRPr="003844DF">
        <w:rPr>
          <w:rFonts w:cs="Arial"/>
          <w:i/>
          <w:color w:val="000000" w:themeColor="text1"/>
        </w:rPr>
        <w:t xml:space="preserve"> receiv</w:t>
      </w:r>
      <w:r>
        <w:rPr>
          <w:rFonts w:cs="Arial"/>
          <w:i/>
          <w:color w:val="000000" w:themeColor="text1"/>
        </w:rPr>
        <w:t>e</w:t>
      </w:r>
      <w:r w:rsidRPr="003844DF">
        <w:rPr>
          <w:rFonts w:cs="Arial"/>
          <w:i/>
          <w:color w:val="000000" w:themeColor="text1"/>
        </w:rPr>
        <w:t xml:space="preserve"> transmissions on one</w:t>
      </w:r>
      <w:r>
        <w:rPr>
          <w:rFonts w:cs="Arial"/>
          <w:i/>
          <w:color w:val="000000" w:themeColor="text1"/>
        </w:rPr>
        <w:t xml:space="preserve"> or more</w:t>
      </w:r>
      <w:r w:rsidRPr="003844DF">
        <w:rPr>
          <w:rFonts w:cs="Arial"/>
          <w:i/>
          <w:color w:val="000000" w:themeColor="text1"/>
        </w:rPr>
        <w:t xml:space="preserve"> 20 MHz channel</w:t>
      </w:r>
      <w:r>
        <w:rPr>
          <w:rFonts w:cs="Arial"/>
          <w:i/>
          <w:color w:val="000000" w:themeColor="text1"/>
        </w:rPr>
        <w:t>s</w:t>
      </w:r>
      <w:r w:rsidRPr="003844DF">
        <w:rPr>
          <w:rFonts w:cs="Arial"/>
          <w:i/>
          <w:color w:val="000000" w:themeColor="text1"/>
        </w:rPr>
        <w:t xml:space="preserve">, while the receiver BW is n * 20 MHz (2 </w:t>
      </w:r>
      <w:r w:rsidRPr="003844DF">
        <w:rPr>
          <w:i/>
          <w:color w:val="000000" w:themeColor="text1"/>
        </w:rPr>
        <w:t xml:space="preserve">≤ </w:t>
      </w:r>
      <w:r w:rsidRPr="003844DF">
        <w:rPr>
          <w:rFonts w:cs="Arial"/>
          <w:i/>
          <w:color w:val="000000" w:themeColor="text1"/>
        </w:rPr>
        <w:t xml:space="preserve">n </w:t>
      </w:r>
      <w:r w:rsidRPr="003844DF">
        <w:rPr>
          <w:i/>
          <w:color w:val="000000" w:themeColor="text1"/>
        </w:rPr>
        <w:t xml:space="preserve">≤ </w:t>
      </w:r>
      <w:r>
        <w:rPr>
          <w:i/>
          <w:color w:val="000000" w:themeColor="text1"/>
        </w:rPr>
        <w:t>[</w:t>
      </w:r>
      <w:r w:rsidRPr="003844DF">
        <w:rPr>
          <w:i/>
          <w:color w:val="000000" w:themeColor="text1"/>
        </w:rPr>
        <w:t>4</w:t>
      </w:r>
      <w:r>
        <w:rPr>
          <w:i/>
          <w:color w:val="000000" w:themeColor="text1"/>
        </w:rPr>
        <w:t>]</w:t>
      </w:r>
      <w:r w:rsidRPr="003844DF">
        <w:rPr>
          <w:rFonts w:cs="Arial"/>
          <w:i/>
          <w:color w:val="000000" w:themeColor="text1"/>
        </w:rPr>
        <w:t>), and other 20 MHz channels may contain interference from other nodes</w:t>
      </w:r>
      <w:r>
        <w:rPr>
          <w:rFonts w:cs="Arial"/>
          <w:i/>
          <w:color w:val="000000" w:themeColor="text1"/>
        </w:rPr>
        <w:t xml:space="preserve"> up to X dB stronger (X is FFS)</w:t>
      </w:r>
      <w:r w:rsidRPr="003844DF">
        <w:rPr>
          <w:rFonts w:cs="Arial"/>
          <w:i/>
          <w:color w:val="000000" w:themeColor="text1"/>
        </w:rPr>
        <w:t>.</w:t>
      </w:r>
    </w:p>
    <w:p w14:paraId="37172A53" w14:textId="3FCAAC33" w:rsidR="05893274" w:rsidRPr="009030A9" w:rsidRDefault="00DF3E41" w:rsidP="009030A9">
      <w:pPr>
        <w:jc w:val="both"/>
        <w:rPr>
          <w:rFonts w:cs="Arial"/>
          <w:i/>
          <w:iCs/>
          <w:color w:val="000000" w:themeColor="text1"/>
        </w:rPr>
      </w:pPr>
      <w:r w:rsidRPr="008D463B">
        <w:rPr>
          <w:rFonts w:cs="Arial"/>
          <w:b/>
          <w:bCs/>
          <w:color w:val="000000" w:themeColor="text1"/>
        </w:rPr>
        <w:t>Proposal-3:</w:t>
      </w:r>
      <w:r>
        <w:rPr>
          <w:rFonts w:cs="Arial"/>
          <w:color w:val="000000" w:themeColor="text1"/>
        </w:rPr>
        <w:t xml:space="preserve"> </w:t>
      </w:r>
      <w:r w:rsidRPr="008D463B">
        <w:rPr>
          <w:rFonts w:cs="Arial"/>
          <w:i/>
          <w:iCs/>
          <w:color w:val="000000" w:themeColor="text1"/>
        </w:rPr>
        <w:t>Study further whether there is a need for guard-band PRBs between sub-bands to receive transmissions on one or more 20 MHz channels, while the r</w:t>
      </w:r>
      <w:r w:rsidRPr="009030A9">
        <w:rPr>
          <w:rFonts w:cs="Arial"/>
          <w:i/>
          <w:iCs/>
          <w:color w:val="000000" w:themeColor="text1"/>
        </w:rPr>
        <w:t xml:space="preserve">eceiver BW is n * 20 MHz (2 </w:t>
      </w:r>
      <w:r w:rsidRPr="009030A9">
        <w:rPr>
          <w:rFonts w:hint="eastAsia"/>
          <w:i/>
          <w:iCs/>
          <w:color w:val="000000" w:themeColor="text1"/>
        </w:rPr>
        <w:t>≤</w:t>
      </w:r>
      <w:r w:rsidRPr="009030A9">
        <w:rPr>
          <w:i/>
          <w:iCs/>
          <w:color w:val="000000" w:themeColor="text1"/>
        </w:rPr>
        <w:t xml:space="preserve"> </w:t>
      </w:r>
      <w:r w:rsidRPr="009030A9">
        <w:rPr>
          <w:rFonts w:cs="Arial"/>
          <w:i/>
          <w:iCs/>
          <w:color w:val="000000" w:themeColor="text1"/>
        </w:rPr>
        <w:t xml:space="preserve">n </w:t>
      </w:r>
      <w:r w:rsidRPr="009030A9">
        <w:rPr>
          <w:rFonts w:hint="eastAsia"/>
          <w:i/>
          <w:iCs/>
          <w:color w:val="000000" w:themeColor="text1"/>
        </w:rPr>
        <w:t>≤</w:t>
      </w:r>
      <w:r w:rsidRPr="009030A9">
        <w:rPr>
          <w:i/>
          <w:iCs/>
          <w:color w:val="000000" w:themeColor="text1"/>
        </w:rPr>
        <w:t xml:space="preserve"> 4</w:t>
      </w:r>
      <w:r w:rsidRPr="009030A9">
        <w:rPr>
          <w:rFonts w:cs="Arial"/>
          <w:i/>
          <w:iCs/>
          <w:color w:val="000000" w:themeColor="text1"/>
        </w:rPr>
        <w:t>), and other 20 MHz channels may contain interference from other nodes.</w:t>
      </w:r>
    </w:p>
    <w:p w14:paraId="2F0729C1" w14:textId="77777777" w:rsidR="0034111C" w:rsidRPr="00A51522" w:rsidRDefault="0034111C">
      <w:pPr>
        <w:pStyle w:val="Heading1"/>
      </w:pPr>
      <w:r w:rsidRPr="00A51522">
        <w:t>References</w:t>
      </w:r>
      <w:r w:rsidR="00A2459D" w:rsidRPr="00A51522">
        <w:t xml:space="preserve"> </w:t>
      </w:r>
    </w:p>
    <w:p w14:paraId="40D99FF0" w14:textId="6E9FD27C" w:rsidR="00055676" w:rsidRPr="000E186C" w:rsidRDefault="1CEFF1BD" w:rsidP="1CEFF1BD">
      <w:pPr>
        <w:numPr>
          <w:ilvl w:val="0"/>
          <w:numId w:val="1"/>
        </w:numPr>
        <w:rPr>
          <w:sz w:val="18"/>
          <w:szCs w:val="18"/>
        </w:rPr>
      </w:pPr>
      <w:r w:rsidRPr="000E186C">
        <w:rPr>
          <w:sz w:val="18"/>
          <w:szCs w:val="18"/>
          <w:lang w:eastAsia="zh-CN"/>
        </w:rPr>
        <w:t>RP-172021, “</w:t>
      </w:r>
      <w:r w:rsidRPr="000E186C">
        <w:rPr>
          <w:i/>
          <w:iCs/>
          <w:sz w:val="18"/>
          <w:szCs w:val="18"/>
          <w:lang w:eastAsia="zh-CN"/>
        </w:rPr>
        <w:t>New SID on NR-based Access to Unlicensed Spectrum</w:t>
      </w:r>
      <w:r w:rsidRPr="000E186C">
        <w:rPr>
          <w:sz w:val="18"/>
          <w:szCs w:val="18"/>
          <w:lang w:eastAsia="zh-CN"/>
        </w:rPr>
        <w:t>”, Qualcomm</w:t>
      </w:r>
    </w:p>
    <w:p w14:paraId="0FE76431" w14:textId="621AB8F3" w:rsidR="00965609" w:rsidRPr="000E186C" w:rsidRDefault="00965609">
      <w:pPr>
        <w:numPr>
          <w:ilvl w:val="0"/>
          <w:numId w:val="1"/>
        </w:numPr>
        <w:rPr>
          <w:sz w:val="18"/>
          <w:szCs w:val="18"/>
        </w:rPr>
      </w:pPr>
      <w:bookmarkStart w:id="2" w:name="_Ref528781166"/>
      <w:r w:rsidRPr="000E186C">
        <w:rPr>
          <w:sz w:val="18"/>
          <w:szCs w:val="18"/>
          <w:lang w:eastAsia="zh-CN"/>
        </w:rPr>
        <w:t>3GPP, “</w:t>
      </w:r>
      <w:r w:rsidRPr="000E186C">
        <w:rPr>
          <w:i/>
          <w:sz w:val="18"/>
          <w:szCs w:val="18"/>
          <w:lang w:eastAsia="zh-CN"/>
        </w:rPr>
        <w:t>RAN1 Chairman’s Notes</w:t>
      </w:r>
      <w:r w:rsidRPr="000E186C">
        <w:rPr>
          <w:sz w:val="18"/>
          <w:szCs w:val="18"/>
          <w:lang w:eastAsia="zh-CN"/>
        </w:rPr>
        <w:t>”, RAN1#</w:t>
      </w:r>
      <w:r w:rsidR="00BA5BDA" w:rsidRPr="000E186C">
        <w:rPr>
          <w:sz w:val="18"/>
          <w:szCs w:val="18"/>
          <w:lang w:eastAsia="zh-CN"/>
        </w:rPr>
        <w:t>9</w:t>
      </w:r>
      <w:r w:rsidR="000E186C">
        <w:rPr>
          <w:sz w:val="18"/>
          <w:szCs w:val="18"/>
          <w:lang w:eastAsia="zh-CN"/>
        </w:rPr>
        <w:t>4</w:t>
      </w:r>
      <w:r w:rsidR="00BA5BDA" w:rsidRPr="000E186C">
        <w:rPr>
          <w:sz w:val="18"/>
          <w:szCs w:val="18"/>
          <w:lang w:eastAsia="zh-CN"/>
        </w:rPr>
        <w:t>bis</w:t>
      </w:r>
      <w:bookmarkEnd w:id="2"/>
    </w:p>
    <w:p w14:paraId="4C5F0740" w14:textId="25573E7F" w:rsidR="00BA5BDA" w:rsidRPr="000E186C" w:rsidRDefault="000E186C" w:rsidP="000E186C">
      <w:pPr>
        <w:numPr>
          <w:ilvl w:val="0"/>
          <w:numId w:val="1"/>
        </w:numPr>
        <w:rPr>
          <w:sz w:val="18"/>
          <w:szCs w:val="18"/>
        </w:rPr>
      </w:pPr>
      <w:bookmarkStart w:id="3" w:name="_Ref528781272"/>
      <w:r w:rsidRPr="000E186C">
        <w:rPr>
          <w:sz w:val="18"/>
          <w:szCs w:val="18"/>
          <w:lang w:eastAsia="zh-CN"/>
        </w:rPr>
        <w:t>R1-1812026</w:t>
      </w:r>
      <w:r w:rsidR="00BA5BDA" w:rsidRPr="000E186C">
        <w:rPr>
          <w:sz w:val="18"/>
          <w:szCs w:val="18"/>
          <w:lang w:eastAsia="zh-CN"/>
        </w:rPr>
        <w:t>, “</w:t>
      </w:r>
      <w:r w:rsidRPr="000E186C">
        <w:rPr>
          <w:i/>
          <w:sz w:val="18"/>
          <w:szCs w:val="18"/>
          <w:lang w:eastAsia="zh-CN"/>
        </w:rPr>
        <w:t>LS on wideband carrier operation for NR-U</w:t>
      </w:r>
      <w:r w:rsidR="00BA5BDA" w:rsidRPr="000E186C">
        <w:rPr>
          <w:sz w:val="18"/>
          <w:szCs w:val="18"/>
          <w:lang w:eastAsia="zh-CN"/>
        </w:rPr>
        <w:t>”, RAN1#</w:t>
      </w:r>
      <w:r>
        <w:rPr>
          <w:sz w:val="18"/>
          <w:szCs w:val="18"/>
          <w:lang w:eastAsia="zh-CN"/>
        </w:rPr>
        <w:t>94b, Ericsson</w:t>
      </w:r>
      <w:bookmarkEnd w:id="3"/>
    </w:p>
    <w:p w14:paraId="6FFF1D16" w14:textId="77777777" w:rsidR="00064A8B" w:rsidRPr="00ED270C" w:rsidRDefault="00064A8B" w:rsidP="00ED270C">
      <w:pPr>
        <w:ind w:left="357"/>
        <w:rPr>
          <w:sz w:val="18"/>
          <w:szCs w:val="18"/>
          <w:highlight w:val="yellow"/>
        </w:rPr>
      </w:pPr>
    </w:p>
    <w:sectPr w:rsidR="00064A8B" w:rsidRPr="00ED270C" w:rsidSect="008D463B">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C06105" w14:textId="77777777" w:rsidR="008D463B" w:rsidRDefault="008D463B">
      <w:r>
        <w:separator/>
      </w:r>
    </w:p>
  </w:endnote>
  <w:endnote w:type="continuationSeparator" w:id="0">
    <w:p w14:paraId="657613B9" w14:textId="77777777" w:rsidR="008D463B" w:rsidRDefault="008D463B">
      <w:r>
        <w:continuationSeparator/>
      </w:r>
    </w:p>
  </w:endnote>
  <w:endnote w:type="continuationNotice" w:id="1">
    <w:p w14:paraId="01FAE8CB" w14:textId="77777777" w:rsidR="008D463B" w:rsidRDefault="008D463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EE"/>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EE"/>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B7FC6B" w14:textId="77777777" w:rsidR="008D463B" w:rsidRDefault="008D463B">
      <w:r>
        <w:separator/>
      </w:r>
    </w:p>
  </w:footnote>
  <w:footnote w:type="continuationSeparator" w:id="0">
    <w:p w14:paraId="0CF4FF4F" w14:textId="77777777" w:rsidR="008D463B" w:rsidRDefault="008D463B">
      <w:r>
        <w:continuationSeparator/>
      </w:r>
    </w:p>
  </w:footnote>
  <w:footnote w:type="continuationNotice" w:id="1">
    <w:p w14:paraId="64D9ABDD" w14:textId="77777777" w:rsidR="008D463B" w:rsidRDefault="008D463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15732A"/>
    <w:multiLevelType w:val="hybridMultilevel"/>
    <w:tmpl w:val="C80274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6C1289"/>
    <w:multiLevelType w:val="hybridMultilevel"/>
    <w:tmpl w:val="A142CBD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 w15:restartNumberingAfterBreak="0">
    <w:nsid w:val="0924567A"/>
    <w:multiLevelType w:val="multilevel"/>
    <w:tmpl w:val="ACC45AC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0EC42155"/>
    <w:multiLevelType w:val="hybridMultilevel"/>
    <w:tmpl w:val="FE3E1FD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 w15:restartNumberingAfterBreak="0">
    <w:nsid w:val="0ED655EE"/>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13280CF2"/>
    <w:multiLevelType w:val="hybridMultilevel"/>
    <w:tmpl w:val="4DCC124A"/>
    <w:lvl w:ilvl="0" w:tplc="04090001">
      <w:start w:val="1"/>
      <w:numFmt w:val="bullet"/>
      <w:lvlText w:val=""/>
      <w:lvlJc w:val="left"/>
      <w:pPr>
        <w:ind w:left="816" w:hanging="360"/>
      </w:pPr>
      <w:rPr>
        <w:rFonts w:ascii="Symbol" w:hAnsi="Symbol" w:hint="default"/>
      </w:rPr>
    </w:lvl>
    <w:lvl w:ilvl="1" w:tplc="04090003">
      <w:start w:val="1"/>
      <w:numFmt w:val="bullet"/>
      <w:lvlText w:val="o"/>
      <w:lvlJc w:val="left"/>
      <w:pPr>
        <w:ind w:left="1536" w:hanging="360"/>
      </w:pPr>
      <w:rPr>
        <w:rFonts w:ascii="Courier New" w:hAnsi="Courier New" w:cs="Courier New" w:hint="default"/>
      </w:rPr>
    </w:lvl>
    <w:lvl w:ilvl="2" w:tplc="04090005" w:tentative="1">
      <w:start w:val="1"/>
      <w:numFmt w:val="bullet"/>
      <w:lvlText w:val=""/>
      <w:lvlJc w:val="left"/>
      <w:pPr>
        <w:ind w:left="2256" w:hanging="360"/>
      </w:pPr>
      <w:rPr>
        <w:rFonts w:ascii="Wingdings" w:hAnsi="Wingdings" w:hint="default"/>
      </w:rPr>
    </w:lvl>
    <w:lvl w:ilvl="3" w:tplc="04090001" w:tentative="1">
      <w:start w:val="1"/>
      <w:numFmt w:val="bullet"/>
      <w:lvlText w:val=""/>
      <w:lvlJc w:val="left"/>
      <w:pPr>
        <w:ind w:left="2976" w:hanging="360"/>
      </w:pPr>
      <w:rPr>
        <w:rFonts w:ascii="Symbol" w:hAnsi="Symbol" w:hint="default"/>
      </w:rPr>
    </w:lvl>
    <w:lvl w:ilvl="4" w:tplc="04090003" w:tentative="1">
      <w:start w:val="1"/>
      <w:numFmt w:val="bullet"/>
      <w:lvlText w:val="o"/>
      <w:lvlJc w:val="left"/>
      <w:pPr>
        <w:ind w:left="3696" w:hanging="360"/>
      </w:pPr>
      <w:rPr>
        <w:rFonts w:ascii="Courier New" w:hAnsi="Courier New" w:cs="Courier New" w:hint="default"/>
      </w:rPr>
    </w:lvl>
    <w:lvl w:ilvl="5" w:tplc="04090005" w:tentative="1">
      <w:start w:val="1"/>
      <w:numFmt w:val="bullet"/>
      <w:lvlText w:val=""/>
      <w:lvlJc w:val="left"/>
      <w:pPr>
        <w:ind w:left="4416" w:hanging="360"/>
      </w:pPr>
      <w:rPr>
        <w:rFonts w:ascii="Wingdings" w:hAnsi="Wingdings" w:hint="default"/>
      </w:rPr>
    </w:lvl>
    <w:lvl w:ilvl="6" w:tplc="04090001" w:tentative="1">
      <w:start w:val="1"/>
      <w:numFmt w:val="bullet"/>
      <w:lvlText w:val=""/>
      <w:lvlJc w:val="left"/>
      <w:pPr>
        <w:ind w:left="5136" w:hanging="360"/>
      </w:pPr>
      <w:rPr>
        <w:rFonts w:ascii="Symbol" w:hAnsi="Symbol" w:hint="default"/>
      </w:rPr>
    </w:lvl>
    <w:lvl w:ilvl="7" w:tplc="04090003" w:tentative="1">
      <w:start w:val="1"/>
      <w:numFmt w:val="bullet"/>
      <w:lvlText w:val="o"/>
      <w:lvlJc w:val="left"/>
      <w:pPr>
        <w:ind w:left="5856" w:hanging="360"/>
      </w:pPr>
      <w:rPr>
        <w:rFonts w:ascii="Courier New" w:hAnsi="Courier New" w:cs="Courier New" w:hint="default"/>
      </w:rPr>
    </w:lvl>
    <w:lvl w:ilvl="8" w:tplc="04090005" w:tentative="1">
      <w:start w:val="1"/>
      <w:numFmt w:val="bullet"/>
      <w:lvlText w:val=""/>
      <w:lvlJc w:val="left"/>
      <w:pPr>
        <w:ind w:left="6576" w:hanging="360"/>
      </w:pPr>
      <w:rPr>
        <w:rFonts w:ascii="Wingdings" w:hAnsi="Wingdings" w:hint="default"/>
      </w:rPr>
    </w:lvl>
  </w:abstractNum>
  <w:abstractNum w:abstractNumId="6" w15:restartNumberingAfterBreak="0">
    <w:nsid w:val="138C09C4"/>
    <w:multiLevelType w:val="hybridMultilevel"/>
    <w:tmpl w:val="84BA43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073BB6"/>
    <w:multiLevelType w:val="hybridMultilevel"/>
    <w:tmpl w:val="CEEA71D8"/>
    <w:lvl w:ilvl="0" w:tplc="040B0001">
      <w:start w:val="1"/>
      <w:numFmt w:val="bullet"/>
      <w:lvlText w:val=""/>
      <w:lvlJc w:val="left"/>
      <w:pPr>
        <w:ind w:left="1080" w:hanging="360"/>
      </w:pPr>
      <w:rPr>
        <w:rFonts w:ascii="Symbol" w:hAnsi="Symbol" w:hint="default"/>
      </w:rPr>
    </w:lvl>
    <w:lvl w:ilvl="1" w:tplc="040B0003" w:tentative="1">
      <w:start w:val="1"/>
      <w:numFmt w:val="bullet"/>
      <w:lvlText w:val="o"/>
      <w:lvlJc w:val="left"/>
      <w:pPr>
        <w:ind w:left="1800" w:hanging="360"/>
      </w:pPr>
      <w:rPr>
        <w:rFonts w:ascii="Courier New" w:hAnsi="Courier New" w:cs="Courier New" w:hint="default"/>
      </w:rPr>
    </w:lvl>
    <w:lvl w:ilvl="2" w:tplc="040B0005" w:tentative="1">
      <w:start w:val="1"/>
      <w:numFmt w:val="bullet"/>
      <w:lvlText w:val=""/>
      <w:lvlJc w:val="left"/>
      <w:pPr>
        <w:ind w:left="2520" w:hanging="360"/>
      </w:pPr>
      <w:rPr>
        <w:rFonts w:ascii="Wingdings" w:hAnsi="Wingdings" w:hint="default"/>
      </w:rPr>
    </w:lvl>
    <w:lvl w:ilvl="3" w:tplc="040B0001" w:tentative="1">
      <w:start w:val="1"/>
      <w:numFmt w:val="bullet"/>
      <w:lvlText w:val=""/>
      <w:lvlJc w:val="left"/>
      <w:pPr>
        <w:ind w:left="3240" w:hanging="360"/>
      </w:pPr>
      <w:rPr>
        <w:rFonts w:ascii="Symbol" w:hAnsi="Symbol" w:hint="default"/>
      </w:rPr>
    </w:lvl>
    <w:lvl w:ilvl="4" w:tplc="040B0003" w:tentative="1">
      <w:start w:val="1"/>
      <w:numFmt w:val="bullet"/>
      <w:lvlText w:val="o"/>
      <w:lvlJc w:val="left"/>
      <w:pPr>
        <w:ind w:left="3960" w:hanging="360"/>
      </w:pPr>
      <w:rPr>
        <w:rFonts w:ascii="Courier New" w:hAnsi="Courier New" w:cs="Courier New" w:hint="default"/>
      </w:rPr>
    </w:lvl>
    <w:lvl w:ilvl="5" w:tplc="040B0005" w:tentative="1">
      <w:start w:val="1"/>
      <w:numFmt w:val="bullet"/>
      <w:lvlText w:val=""/>
      <w:lvlJc w:val="left"/>
      <w:pPr>
        <w:ind w:left="4680" w:hanging="360"/>
      </w:pPr>
      <w:rPr>
        <w:rFonts w:ascii="Wingdings" w:hAnsi="Wingdings" w:hint="default"/>
      </w:rPr>
    </w:lvl>
    <w:lvl w:ilvl="6" w:tplc="040B0001" w:tentative="1">
      <w:start w:val="1"/>
      <w:numFmt w:val="bullet"/>
      <w:lvlText w:val=""/>
      <w:lvlJc w:val="left"/>
      <w:pPr>
        <w:ind w:left="5400" w:hanging="360"/>
      </w:pPr>
      <w:rPr>
        <w:rFonts w:ascii="Symbol" w:hAnsi="Symbol" w:hint="default"/>
      </w:rPr>
    </w:lvl>
    <w:lvl w:ilvl="7" w:tplc="040B0003" w:tentative="1">
      <w:start w:val="1"/>
      <w:numFmt w:val="bullet"/>
      <w:lvlText w:val="o"/>
      <w:lvlJc w:val="left"/>
      <w:pPr>
        <w:ind w:left="6120" w:hanging="360"/>
      </w:pPr>
      <w:rPr>
        <w:rFonts w:ascii="Courier New" w:hAnsi="Courier New" w:cs="Courier New" w:hint="default"/>
      </w:rPr>
    </w:lvl>
    <w:lvl w:ilvl="8" w:tplc="040B0005" w:tentative="1">
      <w:start w:val="1"/>
      <w:numFmt w:val="bullet"/>
      <w:lvlText w:val=""/>
      <w:lvlJc w:val="left"/>
      <w:pPr>
        <w:ind w:left="6840" w:hanging="360"/>
      </w:pPr>
      <w:rPr>
        <w:rFonts w:ascii="Wingdings" w:hAnsi="Wingdings" w:hint="default"/>
      </w:rPr>
    </w:lvl>
  </w:abstractNum>
  <w:abstractNum w:abstractNumId="8" w15:restartNumberingAfterBreak="0">
    <w:nsid w:val="1C227964"/>
    <w:multiLevelType w:val="hybridMultilevel"/>
    <w:tmpl w:val="9F42234C"/>
    <w:lvl w:ilvl="0" w:tplc="040B0001">
      <w:start w:val="1"/>
      <w:numFmt w:val="bullet"/>
      <w:lvlText w:val=""/>
      <w:lvlJc w:val="left"/>
      <w:pPr>
        <w:tabs>
          <w:tab w:val="num" w:pos="644"/>
        </w:tabs>
        <w:ind w:left="644" w:hanging="360"/>
      </w:pPr>
      <w:rPr>
        <w:rFonts w:ascii="Symbol" w:hAnsi="Symbol"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9" w15:restartNumberingAfterBreak="0">
    <w:nsid w:val="1C2B46BC"/>
    <w:multiLevelType w:val="hybridMultilevel"/>
    <w:tmpl w:val="A6BA97C6"/>
    <w:lvl w:ilvl="0" w:tplc="04090001">
      <w:start w:val="1"/>
      <w:numFmt w:val="bullet"/>
      <w:lvlText w:val=""/>
      <w:lvlJc w:val="left"/>
      <w:pPr>
        <w:ind w:left="1006" w:hanging="360"/>
      </w:pPr>
      <w:rPr>
        <w:rFonts w:ascii="Symbol" w:hAnsi="Symbol" w:hint="default"/>
      </w:rPr>
    </w:lvl>
    <w:lvl w:ilvl="1" w:tplc="04090003" w:tentative="1">
      <w:start w:val="1"/>
      <w:numFmt w:val="bullet"/>
      <w:lvlText w:val="o"/>
      <w:lvlJc w:val="left"/>
      <w:pPr>
        <w:ind w:left="1726" w:hanging="360"/>
      </w:pPr>
      <w:rPr>
        <w:rFonts w:ascii="Courier New" w:hAnsi="Courier New" w:cs="Courier New" w:hint="default"/>
      </w:rPr>
    </w:lvl>
    <w:lvl w:ilvl="2" w:tplc="04090005" w:tentative="1">
      <w:start w:val="1"/>
      <w:numFmt w:val="bullet"/>
      <w:lvlText w:val=""/>
      <w:lvlJc w:val="left"/>
      <w:pPr>
        <w:ind w:left="2446" w:hanging="360"/>
      </w:pPr>
      <w:rPr>
        <w:rFonts w:ascii="Wingdings" w:hAnsi="Wingdings" w:hint="default"/>
      </w:rPr>
    </w:lvl>
    <w:lvl w:ilvl="3" w:tplc="04090001" w:tentative="1">
      <w:start w:val="1"/>
      <w:numFmt w:val="bullet"/>
      <w:lvlText w:val=""/>
      <w:lvlJc w:val="left"/>
      <w:pPr>
        <w:ind w:left="3166" w:hanging="360"/>
      </w:pPr>
      <w:rPr>
        <w:rFonts w:ascii="Symbol" w:hAnsi="Symbol" w:hint="default"/>
      </w:rPr>
    </w:lvl>
    <w:lvl w:ilvl="4" w:tplc="04090003" w:tentative="1">
      <w:start w:val="1"/>
      <w:numFmt w:val="bullet"/>
      <w:lvlText w:val="o"/>
      <w:lvlJc w:val="left"/>
      <w:pPr>
        <w:ind w:left="3886" w:hanging="360"/>
      </w:pPr>
      <w:rPr>
        <w:rFonts w:ascii="Courier New" w:hAnsi="Courier New" w:cs="Courier New" w:hint="default"/>
      </w:rPr>
    </w:lvl>
    <w:lvl w:ilvl="5" w:tplc="04090005" w:tentative="1">
      <w:start w:val="1"/>
      <w:numFmt w:val="bullet"/>
      <w:lvlText w:val=""/>
      <w:lvlJc w:val="left"/>
      <w:pPr>
        <w:ind w:left="4606" w:hanging="360"/>
      </w:pPr>
      <w:rPr>
        <w:rFonts w:ascii="Wingdings" w:hAnsi="Wingdings" w:hint="default"/>
      </w:rPr>
    </w:lvl>
    <w:lvl w:ilvl="6" w:tplc="04090001" w:tentative="1">
      <w:start w:val="1"/>
      <w:numFmt w:val="bullet"/>
      <w:lvlText w:val=""/>
      <w:lvlJc w:val="left"/>
      <w:pPr>
        <w:ind w:left="5326" w:hanging="360"/>
      </w:pPr>
      <w:rPr>
        <w:rFonts w:ascii="Symbol" w:hAnsi="Symbol" w:hint="default"/>
      </w:rPr>
    </w:lvl>
    <w:lvl w:ilvl="7" w:tplc="04090003" w:tentative="1">
      <w:start w:val="1"/>
      <w:numFmt w:val="bullet"/>
      <w:lvlText w:val="o"/>
      <w:lvlJc w:val="left"/>
      <w:pPr>
        <w:ind w:left="6046" w:hanging="360"/>
      </w:pPr>
      <w:rPr>
        <w:rFonts w:ascii="Courier New" w:hAnsi="Courier New" w:cs="Courier New" w:hint="default"/>
      </w:rPr>
    </w:lvl>
    <w:lvl w:ilvl="8" w:tplc="04090005" w:tentative="1">
      <w:start w:val="1"/>
      <w:numFmt w:val="bullet"/>
      <w:lvlText w:val=""/>
      <w:lvlJc w:val="left"/>
      <w:pPr>
        <w:ind w:left="6766" w:hanging="360"/>
      </w:pPr>
      <w:rPr>
        <w:rFonts w:ascii="Wingdings" w:hAnsi="Wingdings" w:hint="default"/>
      </w:rPr>
    </w:lvl>
  </w:abstractNum>
  <w:abstractNum w:abstractNumId="10" w15:restartNumberingAfterBreak="0">
    <w:nsid w:val="20AB6C46"/>
    <w:multiLevelType w:val="hybridMultilevel"/>
    <w:tmpl w:val="0E70306A"/>
    <w:lvl w:ilvl="0" w:tplc="040B0001">
      <w:start w:val="1"/>
      <w:numFmt w:val="bullet"/>
      <w:lvlText w:val=""/>
      <w:lvlJc w:val="left"/>
      <w:pPr>
        <w:ind w:left="1080" w:hanging="360"/>
      </w:pPr>
      <w:rPr>
        <w:rFonts w:ascii="Symbol" w:hAnsi="Symbol" w:hint="default"/>
      </w:rPr>
    </w:lvl>
    <w:lvl w:ilvl="1" w:tplc="040B0003" w:tentative="1">
      <w:start w:val="1"/>
      <w:numFmt w:val="bullet"/>
      <w:lvlText w:val="o"/>
      <w:lvlJc w:val="left"/>
      <w:pPr>
        <w:ind w:left="1800" w:hanging="360"/>
      </w:pPr>
      <w:rPr>
        <w:rFonts w:ascii="Courier New" w:hAnsi="Courier New" w:cs="Courier New" w:hint="default"/>
      </w:rPr>
    </w:lvl>
    <w:lvl w:ilvl="2" w:tplc="040B0005" w:tentative="1">
      <w:start w:val="1"/>
      <w:numFmt w:val="bullet"/>
      <w:lvlText w:val=""/>
      <w:lvlJc w:val="left"/>
      <w:pPr>
        <w:ind w:left="2520" w:hanging="360"/>
      </w:pPr>
      <w:rPr>
        <w:rFonts w:ascii="Wingdings" w:hAnsi="Wingdings" w:hint="default"/>
      </w:rPr>
    </w:lvl>
    <w:lvl w:ilvl="3" w:tplc="040B0001" w:tentative="1">
      <w:start w:val="1"/>
      <w:numFmt w:val="bullet"/>
      <w:lvlText w:val=""/>
      <w:lvlJc w:val="left"/>
      <w:pPr>
        <w:ind w:left="3240" w:hanging="360"/>
      </w:pPr>
      <w:rPr>
        <w:rFonts w:ascii="Symbol" w:hAnsi="Symbol" w:hint="default"/>
      </w:rPr>
    </w:lvl>
    <w:lvl w:ilvl="4" w:tplc="040B0003" w:tentative="1">
      <w:start w:val="1"/>
      <w:numFmt w:val="bullet"/>
      <w:lvlText w:val="o"/>
      <w:lvlJc w:val="left"/>
      <w:pPr>
        <w:ind w:left="3960" w:hanging="360"/>
      </w:pPr>
      <w:rPr>
        <w:rFonts w:ascii="Courier New" w:hAnsi="Courier New" w:cs="Courier New" w:hint="default"/>
      </w:rPr>
    </w:lvl>
    <w:lvl w:ilvl="5" w:tplc="040B0005" w:tentative="1">
      <w:start w:val="1"/>
      <w:numFmt w:val="bullet"/>
      <w:lvlText w:val=""/>
      <w:lvlJc w:val="left"/>
      <w:pPr>
        <w:ind w:left="4680" w:hanging="360"/>
      </w:pPr>
      <w:rPr>
        <w:rFonts w:ascii="Wingdings" w:hAnsi="Wingdings" w:hint="default"/>
      </w:rPr>
    </w:lvl>
    <w:lvl w:ilvl="6" w:tplc="040B0001" w:tentative="1">
      <w:start w:val="1"/>
      <w:numFmt w:val="bullet"/>
      <w:lvlText w:val=""/>
      <w:lvlJc w:val="left"/>
      <w:pPr>
        <w:ind w:left="5400" w:hanging="360"/>
      </w:pPr>
      <w:rPr>
        <w:rFonts w:ascii="Symbol" w:hAnsi="Symbol" w:hint="default"/>
      </w:rPr>
    </w:lvl>
    <w:lvl w:ilvl="7" w:tplc="040B0003" w:tentative="1">
      <w:start w:val="1"/>
      <w:numFmt w:val="bullet"/>
      <w:lvlText w:val="o"/>
      <w:lvlJc w:val="left"/>
      <w:pPr>
        <w:ind w:left="6120" w:hanging="360"/>
      </w:pPr>
      <w:rPr>
        <w:rFonts w:ascii="Courier New" w:hAnsi="Courier New" w:cs="Courier New" w:hint="default"/>
      </w:rPr>
    </w:lvl>
    <w:lvl w:ilvl="8" w:tplc="040B0005" w:tentative="1">
      <w:start w:val="1"/>
      <w:numFmt w:val="bullet"/>
      <w:lvlText w:val=""/>
      <w:lvlJc w:val="left"/>
      <w:pPr>
        <w:ind w:left="6840" w:hanging="360"/>
      </w:pPr>
      <w:rPr>
        <w:rFonts w:ascii="Wingdings" w:hAnsi="Wingdings" w:hint="default"/>
      </w:rPr>
    </w:lvl>
  </w:abstractNum>
  <w:abstractNum w:abstractNumId="11" w15:restartNumberingAfterBreak="0">
    <w:nsid w:val="27650BC4"/>
    <w:multiLevelType w:val="hybridMultilevel"/>
    <w:tmpl w:val="0450BF32"/>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0E33C5E"/>
    <w:multiLevelType w:val="hybridMultilevel"/>
    <w:tmpl w:val="4094FC88"/>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4" w15:restartNumberingAfterBreak="0">
    <w:nsid w:val="35BA6C11"/>
    <w:multiLevelType w:val="hybridMultilevel"/>
    <w:tmpl w:val="395836A4"/>
    <w:lvl w:ilvl="0" w:tplc="040B0001">
      <w:start w:val="1"/>
      <w:numFmt w:val="bullet"/>
      <w:lvlText w:val=""/>
      <w:lvlJc w:val="left"/>
      <w:pPr>
        <w:ind w:left="644" w:hanging="360"/>
      </w:pPr>
      <w:rPr>
        <w:rFonts w:ascii="Symbol" w:hAnsi="Symbol"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1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6" w15:restartNumberingAfterBreak="0">
    <w:nsid w:val="367154E8"/>
    <w:multiLevelType w:val="hybridMultilevel"/>
    <w:tmpl w:val="003090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BB845FD"/>
    <w:multiLevelType w:val="hybridMultilevel"/>
    <w:tmpl w:val="8A4E6C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C7F0AEE"/>
    <w:multiLevelType w:val="hybridMultilevel"/>
    <w:tmpl w:val="D9AE863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 w15:restartNumberingAfterBreak="0">
    <w:nsid w:val="3D8C5428"/>
    <w:multiLevelType w:val="multilevel"/>
    <w:tmpl w:val="71841E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3F54A71"/>
    <w:multiLevelType w:val="hybridMultilevel"/>
    <w:tmpl w:val="16D8AF16"/>
    <w:lvl w:ilvl="0" w:tplc="53AED5BA">
      <w:start w:val="1"/>
      <w:numFmt w:val="bullet"/>
      <w:lvlText w:val="•"/>
      <w:lvlJc w:val="left"/>
      <w:pPr>
        <w:tabs>
          <w:tab w:val="num" w:pos="720"/>
        </w:tabs>
        <w:ind w:left="720" w:hanging="360"/>
      </w:pPr>
      <w:rPr>
        <w:rFonts w:ascii="Arial" w:hAnsi="Arial" w:hint="default"/>
      </w:rPr>
    </w:lvl>
    <w:lvl w:ilvl="1" w:tplc="C3FE8EC6">
      <w:start w:val="78"/>
      <w:numFmt w:val="bullet"/>
      <w:lvlText w:val="•"/>
      <w:lvlJc w:val="left"/>
      <w:pPr>
        <w:tabs>
          <w:tab w:val="num" w:pos="1440"/>
        </w:tabs>
        <w:ind w:left="1440" w:hanging="360"/>
      </w:pPr>
      <w:rPr>
        <w:rFonts w:ascii="Arial" w:hAnsi="Arial" w:hint="default"/>
      </w:rPr>
    </w:lvl>
    <w:lvl w:ilvl="2" w:tplc="D8C8FC3E">
      <w:start w:val="1"/>
      <w:numFmt w:val="bullet"/>
      <w:lvlText w:val="•"/>
      <w:lvlJc w:val="left"/>
      <w:pPr>
        <w:tabs>
          <w:tab w:val="num" w:pos="2160"/>
        </w:tabs>
        <w:ind w:left="2160" w:hanging="360"/>
      </w:pPr>
      <w:rPr>
        <w:rFonts w:ascii="Arial" w:hAnsi="Arial" w:hint="default"/>
      </w:rPr>
    </w:lvl>
    <w:lvl w:ilvl="3" w:tplc="60261FA0">
      <w:start w:val="78"/>
      <w:numFmt w:val="bullet"/>
      <w:lvlText w:val="•"/>
      <w:lvlJc w:val="left"/>
      <w:pPr>
        <w:tabs>
          <w:tab w:val="num" w:pos="2880"/>
        </w:tabs>
        <w:ind w:left="2880" w:hanging="360"/>
      </w:pPr>
      <w:rPr>
        <w:rFonts w:ascii="Arial" w:hAnsi="Arial" w:hint="default"/>
      </w:rPr>
    </w:lvl>
    <w:lvl w:ilvl="4" w:tplc="AE988404" w:tentative="1">
      <w:start w:val="1"/>
      <w:numFmt w:val="bullet"/>
      <w:lvlText w:val="•"/>
      <w:lvlJc w:val="left"/>
      <w:pPr>
        <w:tabs>
          <w:tab w:val="num" w:pos="3600"/>
        </w:tabs>
        <w:ind w:left="3600" w:hanging="360"/>
      </w:pPr>
      <w:rPr>
        <w:rFonts w:ascii="Arial" w:hAnsi="Arial" w:hint="default"/>
      </w:rPr>
    </w:lvl>
    <w:lvl w:ilvl="5" w:tplc="038C642A" w:tentative="1">
      <w:start w:val="1"/>
      <w:numFmt w:val="bullet"/>
      <w:lvlText w:val="•"/>
      <w:lvlJc w:val="left"/>
      <w:pPr>
        <w:tabs>
          <w:tab w:val="num" w:pos="4320"/>
        </w:tabs>
        <w:ind w:left="4320" w:hanging="360"/>
      </w:pPr>
      <w:rPr>
        <w:rFonts w:ascii="Arial" w:hAnsi="Arial" w:hint="default"/>
      </w:rPr>
    </w:lvl>
    <w:lvl w:ilvl="6" w:tplc="20362DD8" w:tentative="1">
      <w:start w:val="1"/>
      <w:numFmt w:val="bullet"/>
      <w:lvlText w:val="•"/>
      <w:lvlJc w:val="left"/>
      <w:pPr>
        <w:tabs>
          <w:tab w:val="num" w:pos="5040"/>
        </w:tabs>
        <w:ind w:left="5040" w:hanging="360"/>
      </w:pPr>
      <w:rPr>
        <w:rFonts w:ascii="Arial" w:hAnsi="Arial" w:hint="default"/>
      </w:rPr>
    </w:lvl>
    <w:lvl w:ilvl="7" w:tplc="30A0B428" w:tentative="1">
      <w:start w:val="1"/>
      <w:numFmt w:val="bullet"/>
      <w:lvlText w:val="•"/>
      <w:lvlJc w:val="left"/>
      <w:pPr>
        <w:tabs>
          <w:tab w:val="num" w:pos="5760"/>
        </w:tabs>
        <w:ind w:left="5760" w:hanging="360"/>
      </w:pPr>
      <w:rPr>
        <w:rFonts w:ascii="Arial" w:hAnsi="Arial" w:hint="default"/>
      </w:rPr>
    </w:lvl>
    <w:lvl w:ilvl="8" w:tplc="F46EC220"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46A5E79"/>
    <w:multiLevelType w:val="hybridMultilevel"/>
    <w:tmpl w:val="5D747E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64A4322"/>
    <w:multiLevelType w:val="hybridMultilevel"/>
    <w:tmpl w:val="73D064A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3" w15:restartNumberingAfterBreak="0">
    <w:nsid w:val="480409A6"/>
    <w:multiLevelType w:val="hybridMultilevel"/>
    <w:tmpl w:val="CEBA4D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58A5E59"/>
    <w:multiLevelType w:val="hybridMultilevel"/>
    <w:tmpl w:val="9D6A8F7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5" w15:restartNumberingAfterBreak="0">
    <w:nsid w:val="62A517A6"/>
    <w:multiLevelType w:val="hybridMultilevel"/>
    <w:tmpl w:val="FD540D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7D76CB0"/>
    <w:multiLevelType w:val="hybridMultilevel"/>
    <w:tmpl w:val="E77AE8C8"/>
    <w:lvl w:ilvl="0" w:tplc="04090001">
      <w:start w:val="1"/>
      <w:numFmt w:val="bullet"/>
      <w:lvlText w:val=""/>
      <w:lvlJc w:val="left"/>
      <w:pPr>
        <w:ind w:left="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start w:val="1"/>
      <w:numFmt w:val="bullet"/>
      <w:lvlText w:val="o"/>
      <w:lvlJc w:val="left"/>
      <w:pPr>
        <w:ind w:left="2880" w:hanging="360"/>
      </w:pPr>
      <w:rPr>
        <w:rFonts w:ascii="Courier New" w:hAnsi="Courier New" w:cs="Courier New" w:hint="default"/>
      </w:rPr>
    </w:lvl>
    <w:lvl w:ilvl="5" w:tplc="04090005">
      <w:start w:val="1"/>
      <w:numFmt w:val="bullet"/>
      <w:lvlText w:val=""/>
      <w:lvlJc w:val="left"/>
      <w:pPr>
        <w:ind w:left="3600" w:hanging="360"/>
      </w:pPr>
      <w:rPr>
        <w:rFonts w:ascii="Wingdings" w:hAnsi="Wingdings" w:hint="default"/>
      </w:rPr>
    </w:lvl>
    <w:lvl w:ilvl="6" w:tplc="04090001">
      <w:start w:val="1"/>
      <w:numFmt w:val="bullet"/>
      <w:lvlText w:val=""/>
      <w:lvlJc w:val="left"/>
      <w:pPr>
        <w:ind w:left="4320" w:hanging="360"/>
      </w:pPr>
      <w:rPr>
        <w:rFonts w:ascii="Symbol" w:hAnsi="Symbol" w:hint="default"/>
      </w:rPr>
    </w:lvl>
    <w:lvl w:ilvl="7" w:tplc="04090003">
      <w:start w:val="1"/>
      <w:numFmt w:val="bullet"/>
      <w:lvlText w:val="o"/>
      <w:lvlJc w:val="left"/>
      <w:pPr>
        <w:ind w:left="5040" w:hanging="360"/>
      </w:pPr>
      <w:rPr>
        <w:rFonts w:ascii="Courier New" w:hAnsi="Courier New" w:cs="Courier New" w:hint="default"/>
      </w:rPr>
    </w:lvl>
    <w:lvl w:ilvl="8" w:tplc="04090005">
      <w:start w:val="1"/>
      <w:numFmt w:val="bullet"/>
      <w:lvlText w:val=""/>
      <w:lvlJc w:val="left"/>
      <w:pPr>
        <w:ind w:left="5760" w:hanging="360"/>
      </w:pPr>
      <w:rPr>
        <w:rFonts w:ascii="Wingdings" w:hAnsi="Wingdings" w:hint="default"/>
      </w:rPr>
    </w:lvl>
  </w:abstractNum>
  <w:abstractNum w:abstractNumId="27" w15:restartNumberingAfterBreak="0">
    <w:nsid w:val="683175D4"/>
    <w:multiLevelType w:val="hybridMultilevel"/>
    <w:tmpl w:val="688648C8"/>
    <w:lvl w:ilvl="0" w:tplc="040B0001">
      <w:start w:val="1"/>
      <w:numFmt w:val="bullet"/>
      <w:lvlText w:val=""/>
      <w:lvlJc w:val="left"/>
      <w:pPr>
        <w:ind w:left="720" w:hanging="360"/>
      </w:pPr>
      <w:rPr>
        <w:rFonts w:ascii="Symbol" w:hAnsi="Symbol"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8" w15:restartNumberingAfterBreak="0">
    <w:nsid w:val="6CAD669B"/>
    <w:multiLevelType w:val="hybridMultilevel"/>
    <w:tmpl w:val="31E4663A"/>
    <w:lvl w:ilvl="0" w:tplc="040B0001">
      <w:start w:val="1"/>
      <w:numFmt w:val="bullet"/>
      <w:lvlText w:val=""/>
      <w:lvlJc w:val="left"/>
      <w:pPr>
        <w:ind w:left="644" w:hanging="360"/>
      </w:pPr>
      <w:rPr>
        <w:rFonts w:ascii="Symbol" w:hAnsi="Symbol"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29" w15:restartNumberingAfterBreak="0">
    <w:nsid w:val="6E241A1A"/>
    <w:multiLevelType w:val="hybridMultilevel"/>
    <w:tmpl w:val="0A34B322"/>
    <w:lvl w:ilvl="0" w:tplc="BBCAB974">
      <w:start w:val="1"/>
      <w:numFmt w:val="bullet"/>
      <w:lvlText w:val="•"/>
      <w:lvlJc w:val="left"/>
      <w:pPr>
        <w:tabs>
          <w:tab w:val="num" w:pos="720"/>
        </w:tabs>
        <w:ind w:left="720" w:hanging="360"/>
      </w:pPr>
      <w:rPr>
        <w:rFonts w:ascii="Arial" w:hAnsi="Arial" w:hint="default"/>
      </w:rPr>
    </w:lvl>
    <w:lvl w:ilvl="1" w:tplc="089A4870">
      <w:start w:val="78"/>
      <w:numFmt w:val="bullet"/>
      <w:lvlText w:val="•"/>
      <w:lvlJc w:val="left"/>
      <w:pPr>
        <w:tabs>
          <w:tab w:val="num" w:pos="1440"/>
        </w:tabs>
        <w:ind w:left="1440" w:hanging="360"/>
      </w:pPr>
      <w:rPr>
        <w:rFonts w:ascii="Arial" w:hAnsi="Arial" w:hint="default"/>
      </w:rPr>
    </w:lvl>
    <w:lvl w:ilvl="2" w:tplc="4CE4574E">
      <w:start w:val="78"/>
      <w:numFmt w:val="bullet"/>
      <w:lvlText w:val="•"/>
      <w:lvlJc w:val="left"/>
      <w:pPr>
        <w:tabs>
          <w:tab w:val="num" w:pos="2160"/>
        </w:tabs>
        <w:ind w:left="2160" w:hanging="360"/>
      </w:pPr>
      <w:rPr>
        <w:rFonts w:ascii="Arial" w:hAnsi="Arial" w:hint="default"/>
      </w:rPr>
    </w:lvl>
    <w:lvl w:ilvl="3" w:tplc="D9B45FA8" w:tentative="1">
      <w:start w:val="1"/>
      <w:numFmt w:val="bullet"/>
      <w:lvlText w:val="•"/>
      <w:lvlJc w:val="left"/>
      <w:pPr>
        <w:tabs>
          <w:tab w:val="num" w:pos="2880"/>
        </w:tabs>
        <w:ind w:left="2880" w:hanging="360"/>
      </w:pPr>
      <w:rPr>
        <w:rFonts w:ascii="Arial" w:hAnsi="Arial" w:hint="default"/>
      </w:rPr>
    </w:lvl>
    <w:lvl w:ilvl="4" w:tplc="4754B744" w:tentative="1">
      <w:start w:val="1"/>
      <w:numFmt w:val="bullet"/>
      <w:lvlText w:val="•"/>
      <w:lvlJc w:val="left"/>
      <w:pPr>
        <w:tabs>
          <w:tab w:val="num" w:pos="3600"/>
        </w:tabs>
        <w:ind w:left="3600" w:hanging="360"/>
      </w:pPr>
      <w:rPr>
        <w:rFonts w:ascii="Arial" w:hAnsi="Arial" w:hint="default"/>
      </w:rPr>
    </w:lvl>
    <w:lvl w:ilvl="5" w:tplc="4502BA1E" w:tentative="1">
      <w:start w:val="1"/>
      <w:numFmt w:val="bullet"/>
      <w:lvlText w:val="•"/>
      <w:lvlJc w:val="left"/>
      <w:pPr>
        <w:tabs>
          <w:tab w:val="num" w:pos="4320"/>
        </w:tabs>
        <w:ind w:left="4320" w:hanging="360"/>
      </w:pPr>
      <w:rPr>
        <w:rFonts w:ascii="Arial" w:hAnsi="Arial" w:hint="default"/>
      </w:rPr>
    </w:lvl>
    <w:lvl w:ilvl="6" w:tplc="ABB83DCA" w:tentative="1">
      <w:start w:val="1"/>
      <w:numFmt w:val="bullet"/>
      <w:lvlText w:val="•"/>
      <w:lvlJc w:val="left"/>
      <w:pPr>
        <w:tabs>
          <w:tab w:val="num" w:pos="5040"/>
        </w:tabs>
        <w:ind w:left="5040" w:hanging="360"/>
      </w:pPr>
      <w:rPr>
        <w:rFonts w:ascii="Arial" w:hAnsi="Arial" w:hint="default"/>
      </w:rPr>
    </w:lvl>
    <w:lvl w:ilvl="7" w:tplc="FCB65634" w:tentative="1">
      <w:start w:val="1"/>
      <w:numFmt w:val="bullet"/>
      <w:lvlText w:val="•"/>
      <w:lvlJc w:val="left"/>
      <w:pPr>
        <w:tabs>
          <w:tab w:val="num" w:pos="5760"/>
        </w:tabs>
        <w:ind w:left="5760" w:hanging="360"/>
      </w:pPr>
      <w:rPr>
        <w:rFonts w:ascii="Arial" w:hAnsi="Arial" w:hint="default"/>
      </w:rPr>
    </w:lvl>
    <w:lvl w:ilvl="8" w:tplc="875C7BA6"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713C5B76"/>
    <w:multiLevelType w:val="hybridMultilevel"/>
    <w:tmpl w:val="3156398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1" w15:restartNumberingAfterBreak="0">
    <w:nsid w:val="799D4A06"/>
    <w:multiLevelType w:val="hybridMultilevel"/>
    <w:tmpl w:val="207210B2"/>
    <w:lvl w:ilvl="0" w:tplc="040B0001">
      <w:start w:val="1"/>
      <w:numFmt w:val="bullet"/>
      <w:lvlText w:val=""/>
      <w:lvlJc w:val="left"/>
      <w:pPr>
        <w:ind w:left="644" w:hanging="360"/>
      </w:pPr>
      <w:rPr>
        <w:rFonts w:ascii="Symbol" w:hAnsi="Symbol"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32" w15:restartNumberingAfterBreak="0">
    <w:nsid w:val="7B775984"/>
    <w:multiLevelType w:val="hybridMultilevel"/>
    <w:tmpl w:val="EEA6EC66"/>
    <w:lvl w:ilvl="0" w:tplc="53AED5BA">
      <w:start w:val="1"/>
      <w:numFmt w:val="bullet"/>
      <w:lvlText w:val="•"/>
      <w:lvlJc w:val="left"/>
      <w:pPr>
        <w:tabs>
          <w:tab w:val="num" w:pos="720"/>
        </w:tabs>
        <w:ind w:left="720" w:hanging="360"/>
      </w:pPr>
      <w:rPr>
        <w:rFonts w:ascii="Arial" w:hAnsi="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3" w15:restartNumberingAfterBreak="0">
    <w:nsid w:val="7FA245A3"/>
    <w:multiLevelType w:val="hybridMultilevel"/>
    <w:tmpl w:val="66BA8CC2"/>
    <w:lvl w:ilvl="0" w:tplc="040B0001">
      <w:start w:val="1"/>
      <w:numFmt w:val="bullet"/>
      <w:lvlText w:val=""/>
      <w:lvlJc w:val="left"/>
      <w:pPr>
        <w:ind w:left="644" w:hanging="360"/>
      </w:pPr>
      <w:rPr>
        <w:rFonts w:ascii="Symbol" w:hAnsi="Symbol"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num w:numId="1">
    <w:abstractNumId w:val="15"/>
  </w:num>
  <w:num w:numId="2">
    <w:abstractNumId w:val="30"/>
  </w:num>
  <w:num w:numId="3">
    <w:abstractNumId w:val="14"/>
  </w:num>
  <w:num w:numId="4">
    <w:abstractNumId w:val="31"/>
  </w:num>
  <w:num w:numId="5">
    <w:abstractNumId w:val="6"/>
  </w:num>
  <w:num w:numId="6">
    <w:abstractNumId w:val="20"/>
  </w:num>
  <w:num w:numId="7">
    <w:abstractNumId w:val="3"/>
  </w:num>
  <w:num w:numId="8">
    <w:abstractNumId w:val="32"/>
  </w:num>
  <w:num w:numId="9">
    <w:abstractNumId w:val="8"/>
  </w:num>
  <w:num w:numId="10">
    <w:abstractNumId w:val="33"/>
  </w:num>
  <w:num w:numId="11">
    <w:abstractNumId w:val="12"/>
  </w:num>
  <w:num w:numId="12">
    <w:abstractNumId w:val="25"/>
  </w:num>
  <w:num w:numId="13">
    <w:abstractNumId w:val="17"/>
  </w:num>
  <w:num w:numId="14">
    <w:abstractNumId w:val="19"/>
  </w:num>
  <w:num w:numId="15">
    <w:abstractNumId w:val="1"/>
  </w:num>
  <w:num w:numId="16">
    <w:abstractNumId w:val="24"/>
  </w:num>
  <w:num w:numId="17">
    <w:abstractNumId w:val="21"/>
  </w:num>
  <w:num w:numId="18">
    <w:abstractNumId w:val="13"/>
  </w:num>
  <w:num w:numId="19">
    <w:abstractNumId w:val="27"/>
  </w:num>
  <w:num w:numId="20">
    <w:abstractNumId w:val="18"/>
  </w:num>
  <w:num w:numId="21">
    <w:abstractNumId w:val="29"/>
  </w:num>
  <w:num w:numId="22">
    <w:abstractNumId w:val="10"/>
  </w:num>
  <w:num w:numId="23">
    <w:abstractNumId w:val="7"/>
  </w:num>
  <w:num w:numId="24">
    <w:abstractNumId w:val="28"/>
  </w:num>
  <w:num w:numId="25">
    <w:abstractNumId w:val="0"/>
  </w:num>
  <w:num w:numId="26">
    <w:abstractNumId w:val="5"/>
  </w:num>
  <w:num w:numId="27">
    <w:abstractNumId w:val="22"/>
  </w:num>
  <w:num w:numId="28">
    <w:abstractNumId w:val="11"/>
  </w:num>
  <w:num w:numId="29">
    <w:abstractNumId w:val="2"/>
  </w:num>
  <w:num w:numId="3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
  </w:num>
  <w:num w:numId="44">
    <w:abstractNumId w:val="26"/>
  </w:num>
  <w:num w:numId="45">
    <w:abstractNumId w:val="16"/>
  </w:num>
  <w:num w:numId="46">
    <w:abstractNumId w:val="9"/>
  </w:num>
  <w:num w:numId="47">
    <w:abstractNumId w:val="23"/>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de-DE" w:vendorID="64" w:dllVersion="0" w:nlCheck="1" w:checkStyle="0"/>
  <w:activeWritingStyle w:appName="MSWord" w:lang="fi-FI" w:vendorID="64" w:dllVersion="0" w:nlCheck="1" w:checkStyle="0"/>
  <w:activeWritingStyle w:appName="MSWord" w:lang="en-GB" w:vendorID="64" w:dllVersion="6" w:nlCheck="1" w:checkStyle="0"/>
  <w:activeWritingStyle w:appName="MSWord" w:lang="en-US" w:vendorID="64" w:dllVersion="6" w:nlCheck="1" w:checkStyle="0"/>
  <w:activeWritingStyle w:appName="MSWord" w:lang="fi-FI" w:vendorID="64" w:dllVersion="6"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61441"/>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1C4"/>
    <w:rsid w:val="0000159F"/>
    <w:rsid w:val="00004AC8"/>
    <w:rsid w:val="00006055"/>
    <w:rsid w:val="00006AD4"/>
    <w:rsid w:val="000074C4"/>
    <w:rsid w:val="000075D3"/>
    <w:rsid w:val="000079A6"/>
    <w:rsid w:val="00011A68"/>
    <w:rsid w:val="00011BB2"/>
    <w:rsid w:val="00012505"/>
    <w:rsid w:val="0001262C"/>
    <w:rsid w:val="00012C42"/>
    <w:rsid w:val="00012C4F"/>
    <w:rsid w:val="000131D1"/>
    <w:rsid w:val="00013455"/>
    <w:rsid w:val="000134E3"/>
    <w:rsid w:val="00013632"/>
    <w:rsid w:val="000137FC"/>
    <w:rsid w:val="00013F5E"/>
    <w:rsid w:val="0001403F"/>
    <w:rsid w:val="00014091"/>
    <w:rsid w:val="0001411B"/>
    <w:rsid w:val="000146BD"/>
    <w:rsid w:val="0001487F"/>
    <w:rsid w:val="00014F35"/>
    <w:rsid w:val="00015F98"/>
    <w:rsid w:val="0001614D"/>
    <w:rsid w:val="000166AC"/>
    <w:rsid w:val="00017B7F"/>
    <w:rsid w:val="00017EDA"/>
    <w:rsid w:val="0002046D"/>
    <w:rsid w:val="0002348B"/>
    <w:rsid w:val="00023742"/>
    <w:rsid w:val="00024AEF"/>
    <w:rsid w:val="00026C65"/>
    <w:rsid w:val="00027755"/>
    <w:rsid w:val="00030048"/>
    <w:rsid w:val="0003072D"/>
    <w:rsid w:val="000314CD"/>
    <w:rsid w:val="000318ED"/>
    <w:rsid w:val="00033544"/>
    <w:rsid w:val="000336E8"/>
    <w:rsid w:val="0003479E"/>
    <w:rsid w:val="0003484F"/>
    <w:rsid w:val="00035691"/>
    <w:rsid w:val="00035CD6"/>
    <w:rsid w:val="00037024"/>
    <w:rsid w:val="000409AF"/>
    <w:rsid w:val="0004132D"/>
    <w:rsid w:val="00041358"/>
    <w:rsid w:val="0004209C"/>
    <w:rsid w:val="0004383E"/>
    <w:rsid w:val="0004452C"/>
    <w:rsid w:val="00044CFA"/>
    <w:rsid w:val="00044D80"/>
    <w:rsid w:val="00044F2E"/>
    <w:rsid w:val="000459C7"/>
    <w:rsid w:val="00046630"/>
    <w:rsid w:val="00046C80"/>
    <w:rsid w:val="00047FFA"/>
    <w:rsid w:val="00050112"/>
    <w:rsid w:val="00050466"/>
    <w:rsid w:val="000505CC"/>
    <w:rsid w:val="00050EBC"/>
    <w:rsid w:val="000511F9"/>
    <w:rsid w:val="00051616"/>
    <w:rsid w:val="00052207"/>
    <w:rsid w:val="0005230E"/>
    <w:rsid w:val="00052850"/>
    <w:rsid w:val="000528A2"/>
    <w:rsid w:val="00052BBA"/>
    <w:rsid w:val="00052C0A"/>
    <w:rsid w:val="00052E2B"/>
    <w:rsid w:val="00053221"/>
    <w:rsid w:val="00054D9D"/>
    <w:rsid w:val="00055676"/>
    <w:rsid w:val="00056544"/>
    <w:rsid w:val="00056949"/>
    <w:rsid w:val="000578A2"/>
    <w:rsid w:val="00060269"/>
    <w:rsid w:val="00060D8E"/>
    <w:rsid w:val="00062159"/>
    <w:rsid w:val="0006245E"/>
    <w:rsid w:val="0006297F"/>
    <w:rsid w:val="00062ABB"/>
    <w:rsid w:val="000631B7"/>
    <w:rsid w:val="00063D9E"/>
    <w:rsid w:val="00064A8B"/>
    <w:rsid w:val="00064AD3"/>
    <w:rsid w:val="00064CE3"/>
    <w:rsid w:val="00065088"/>
    <w:rsid w:val="0006519B"/>
    <w:rsid w:val="000652D3"/>
    <w:rsid w:val="000654A0"/>
    <w:rsid w:val="00067799"/>
    <w:rsid w:val="00067D46"/>
    <w:rsid w:val="00067FFB"/>
    <w:rsid w:val="000707CA"/>
    <w:rsid w:val="000707FF"/>
    <w:rsid w:val="00070D32"/>
    <w:rsid w:val="000714D7"/>
    <w:rsid w:val="0007208A"/>
    <w:rsid w:val="00072BBA"/>
    <w:rsid w:val="00072FF5"/>
    <w:rsid w:val="00075FDA"/>
    <w:rsid w:val="000762E8"/>
    <w:rsid w:val="00076386"/>
    <w:rsid w:val="00076D82"/>
    <w:rsid w:val="00080339"/>
    <w:rsid w:val="00081EC2"/>
    <w:rsid w:val="000823FE"/>
    <w:rsid w:val="00083800"/>
    <w:rsid w:val="00083C3D"/>
    <w:rsid w:val="00084A65"/>
    <w:rsid w:val="0009185A"/>
    <w:rsid w:val="00091A92"/>
    <w:rsid w:val="00093C49"/>
    <w:rsid w:val="00094050"/>
    <w:rsid w:val="00095A80"/>
    <w:rsid w:val="00096724"/>
    <w:rsid w:val="00096781"/>
    <w:rsid w:val="000973C8"/>
    <w:rsid w:val="000973E1"/>
    <w:rsid w:val="000A02D1"/>
    <w:rsid w:val="000A1402"/>
    <w:rsid w:val="000A1828"/>
    <w:rsid w:val="000A1F88"/>
    <w:rsid w:val="000A20BA"/>
    <w:rsid w:val="000A262C"/>
    <w:rsid w:val="000A38C0"/>
    <w:rsid w:val="000A3C8D"/>
    <w:rsid w:val="000A40EC"/>
    <w:rsid w:val="000A44DE"/>
    <w:rsid w:val="000A4BB2"/>
    <w:rsid w:val="000A54EE"/>
    <w:rsid w:val="000A6A23"/>
    <w:rsid w:val="000A7BC5"/>
    <w:rsid w:val="000A7F64"/>
    <w:rsid w:val="000B0C45"/>
    <w:rsid w:val="000B12B9"/>
    <w:rsid w:val="000B16DB"/>
    <w:rsid w:val="000B1C5E"/>
    <w:rsid w:val="000B1D79"/>
    <w:rsid w:val="000B2282"/>
    <w:rsid w:val="000B2A11"/>
    <w:rsid w:val="000B2A5B"/>
    <w:rsid w:val="000B2B69"/>
    <w:rsid w:val="000B3B91"/>
    <w:rsid w:val="000B5AC9"/>
    <w:rsid w:val="000B5F0A"/>
    <w:rsid w:val="000B6A01"/>
    <w:rsid w:val="000C1D59"/>
    <w:rsid w:val="000C3B02"/>
    <w:rsid w:val="000C501D"/>
    <w:rsid w:val="000C74BA"/>
    <w:rsid w:val="000C7531"/>
    <w:rsid w:val="000C7C3F"/>
    <w:rsid w:val="000D0BD6"/>
    <w:rsid w:val="000D0C61"/>
    <w:rsid w:val="000D0F89"/>
    <w:rsid w:val="000D27AD"/>
    <w:rsid w:val="000D29D1"/>
    <w:rsid w:val="000D2B0A"/>
    <w:rsid w:val="000D3286"/>
    <w:rsid w:val="000D344D"/>
    <w:rsid w:val="000D3FBC"/>
    <w:rsid w:val="000D40E7"/>
    <w:rsid w:val="000D47F3"/>
    <w:rsid w:val="000D584F"/>
    <w:rsid w:val="000D60C2"/>
    <w:rsid w:val="000E071E"/>
    <w:rsid w:val="000E186C"/>
    <w:rsid w:val="000E20D5"/>
    <w:rsid w:val="000E248B"/>
    <w:rsid w:val="000E27AA"/>
    <w:rsid w:val="000E337A"/>
    <w:rsid w:val="000E3671"/>
    <w:rsid w:val="000E4350"/>
    <w:rsid w:val="000E4408"/>
    <w:rsid w:val="000E5716"/>
    <w:rsid w:val="000E5E1F"/>
    <w:rsid w:val="000E67A4"/>
    <w:rsid w:val="000E6E97"/>
    <w:rsid w:val="000E73D4"/>
    <w:rsid w:val="000E75EA"/>
    <w:rsid w:val="000E7A24"/>
    <w:rsid w:val="000E7A79"/>
    <w:rsid w:val="000F0FF6"/>
    <w:rsid w:val="000F15B2"/>
    <w:rsid w:val="000F19DE"/>
    <w:rsid w:val="000F2E1F"/>
    <w:rsid w:val="000F37B0"/>
    <w:rsid w:val="000F3836"/>
    <w:rsid w:val="000F4595"/>
    <w:rsid w:val="000F46C5"/>
    <w:rsid w:val="000F4CB2"/>
    <w:rsid w:val="000F4EC0"/>
    <w:rsid w:val="000F568D"/>
    <w:rsid w:val="000F609B"/>
    <w:rsid w:val="000F6351"/>
    <w:rsid w:val="000F72E8"/>
    <w:rsid w:val="00101875"/>
    <w:rsid w:val="00101C4F"/>
    <w:rsid w:val="00102C9F"/>
    <w:rsid w:val="001036C8"/>
    <w:rsid w:val="00105DB7"/>
    <w:rsid w:val="001068D2"/>
    <w:rsid w:val="001103BD"/>
    <w:rsid w:val="00110DA9"/>
    <w:rsid w:val="00111208"/>
    <w:rsid w:val="00111808"/>
    <w:rsid w:val="00111B94"/>
    <w:rsid w:val="0011339F"/>
    <w:rsid w:val="00114E96"/>
    <w:rsid w:val="00115828"/>
    <w:rsid w:val="0011644A"/>
    <w:rsid w:val="001167B3"/>
    <w:rsid w:val="00117332"/>
    <w:rsid w:val="001204DD"/>
    <w:rsid w:val="00122839"/>
    <w:rsid w:val="001237AC"/>
    <w:rsid w:val="00123A30"/>
    <w:rsid w:val="00123FC0"/>
    <w:rsid w:val="00124665"/>
    <w:rsid w:val="00124E12"/>
    <w:rsid w:val="0012673D"/>
    <w:rsid w:val="001269B8"/>
    <w:rsid w:val="00127099"/>
    <w:rsid w:val="00130783"/>
    <w:rsid w:val="00132B71"/>
    <w:rsid w:val="00133579"/>
    <w:rsid w:val="0013409D"/>
    <w:rsid w:val="0013427A"/>
    <w:rsid w:val="00134C28"/>
    <w:rsid w:val="001362C2"/>
    <w:rsid w:val="001366B8"/>
    <w:rsid w:val="00136955"/>
    <w:rsid w:val="00136E19"/>
    <w:rsid w:val="001371B2"/>
    <w:rsid w:val="00137381"/>
    <w:rsid w:val="00137873"/>
    <w:rsid w:val="00137930"/>
    <w:rsid w:val="00137D78"/>
    <w:rsid w:val="001409A0"/>
    <w:rsid w:val="00140B7C"/>
    <w:rsid w:val="0014126E"/>
    <w:rsid w:val="00141F08"/>
    <w:rsid w:val="00141FF2"/>
    <w:rsid w:val="0014287A"/>
    <w:rsid w:val="00142DE2"/>
    <w:rsid w:val="00144C87"/>
    <w:rsid w:val="001467B1"/>
    <w:rsid w:val="00146DF0"/>
    <w:rsid w:val="00150175"/>
    <w:rsid w:val="001502C8"/>
    <w:rsid w:val="00150B49"/>
    <w:rsid w:val="0015130F"/>
    <w:rsid w:val="00151DC9"/>
    <w:rsid w:val="00153A0F"/>
    <w:rsid w:val="001540E4"/>
    <w:rsid w:val="00154991"/>
    <w:rsid w:val="00154DA4"/>
    <w:rsid w:val="00155464"/>
    <w:rsid w:val="00155BFD"/>
    <w:rsid w:val="00155DBD"/>
    <w:rsid w:val="001564B2"/>
    <w:rsid w:val="00156A19"/>
    <w:rsid w:val="00156DC3"/>
    <w:rsid w:val="00156EDD"/>
    <w:rsid w:val="00157390"/>
    <w:rsid w:val="00160998"/>
    <w:rsid w:val="00160CD6"/>
    <w:rsid w:val="0016163D"/>
    <w:rsid w:val="00161F86"/>
    <w:rsid w:val="00162A24"/>
    <w:rsid w:val="0016316A"/>
    <w:rsid w:val="00163E1B"/>
    <w:rsid w:val="00164171"/>
    <w:rsid w:val="00164E58"/>
    <w:rsid w:val="00165033"/>
    <w:rsid w:val="00165B18"/>
    <w:rsid w:val="00166205"/>
    <w:rsid w:val="001670EA"/>
    <w:rsid w:val="001674A0"/>
    <w:rsid w:val="00170A50"/>
    <w:rsid w:val="00171F0C"/>
    <w:rsid w:val="00173729"/>
    <w:rsid w:val="001748A8"/>
    <w:rsid w:val="00174FFD"/>
    <w:rsid w:val="001759CA"/>
    <w:rsid w:val="00176F1E"/>
    <w:rsid w:val="0017726A"/>
    <w:rsid w:val="00177D03"/>
    <w:rsid w:val="00177DD3"/>
    <w:rsid w:val="00180278"/>
    <w:rsid w:val="00181296"/>
    <w:rsid w:val="001818A7"/>
    <w:rsid w:val="00181E86"/>
    <w:rsid w:val="00182725"/>
    <w:rsid w:val="001829C8"/>
    <w:rsid w:val="00182CA0"/>
    <w:rsid w:val="00184098"/>
    <w:rsid w:val="00184804"/>
    <w:rsid w:val="00184C82"/>
    <w:rsid w:val="00186904"/>
    <w:rsid w:val="00186B0A"/>
    <w:rsid w:val="00186C5C"/>
    <w:rsid w:val="001905BD"/>
    <w:rsid w:val="00192FE6"/>
    <w:rsid w:val="00193986"/>
    <w:rsid w:val="00193B08"/>
    <w:rsid w:val="00194570"/>
    <w:rsid w:val="00194E5A"/>
    <w:rsid w:val="00195EC5"/>
    <w:rsid w:val="00196BF4"/>
    <w:rsid w:val="001972DA"/>
    <w:rsid w:val="001976AA"/>
    <w:rsid w:val="001A02F6"/>
    <w:rsid w:val="001A15C6"/>
    <w:rsid w:val="001A32B7"/>
    <w:rsid w:val="001A5E19"/>
    <w:rsid w:val="001A67B9"/>
    <w:rsid w:val="001A78C8"/>
    <w:rsid w:val="001B01FA"/>
    <w:rsid w:val="001B0832"/>
    <w:rsid w:val="001B18A7"/>
    <w:rsid w:val="001B21C9"/>
    <w:rsid w:val="001B2762"/>
    <w:rsid w:val="001B3270"/>
    <w:rsid w:val="001B36FC"/>
    <w:rsid w:val="001B41ED"/>
    <w:rsid w:val="001B4607"/>
    <w:rsid w:val="001B480A"/>
    <w:rsid w:val="001B69CA"/>
    <w:rsid w:val="001B7E0C"/>
    <w:rsid w:val="001C0586"/>
    <w:rsid w:val="001C0674"/>
    <w:rsid w:val="001C226F"/>
    <w:rsid w:val="001C52F3"/>
    <w:rsid w:val="001C54B2"/>
    <w:rsid w:val="001C59FE"/>
    <w:rsid w:val="001C66AC"/>
    <w:rsid w:val="001C6754"/>
    <w:rsid w:val="001C77F0"/>
    <w:rsid w:val="001D04AA"/>
    <w:rsid w:val="001D217E"/>
    <w:rsid w:val="001D2EF5"/>
    <w:rsid w:val="001D46A0"/>
    <w:rsid w:val="001D49D6"/>
    <w:rsid w:val="001D4E22"/>
    <w:rsid w:val="001D7CA4"/>
    <w:rsid w:val="001D7E58"/>
    <w:rsid w:val="001E1C15"/>
    <w:rsid w:val="001E1CF8"/>
    <w:rsid w:val="001E2AAD"/>
    <w:rsid w:val="001E30A0"/>
    <w:rsid w:val="001E3F75"/>
    <w:rsid w:val="001E4331"/>
    <w:rsid w:val="001E4D4F"/>
    <w:rsid w:val="001E57CF"/>
    <w:rsid w:val="001E5981"/>
    <w:rsid w:val="001E74BA"/>
    <w:rsid w:val="001E7587"/>
    <w:rsid w:val="001E7B9F"/>
    <w:rsid w:val="001F01FB"/>
    <w:rsid w:val="001F0658"/>
    <w:rsid w:val="001F0E92"/>
    <w:rsid w:val="001F1987"/>
    <w:rsid w:val="001F23BD"/>
    <w:rsid w:val="001F27BD"/>
    <w:rsid w:val="001F28AA"/>
    <w:rsid w:val="001F2A5D"/>
    <w:rsid w:val="001F34DA"/>
    <w:rsid w:val="001F4136"/>
    <w:rsid w:val="001F4DAC"/>
    <w:rsid w:val="001F5019"/>
    <w:rsid w:val="001F650F"/>
    <w:rsid w:val="001F67AA"/>
    <w:rsid w:val="001F6DA3"/>
    <w:rsid w:val="001F7599"/>
    <w:rsid w:val="00200E97"/>
    <w:rsid w:val="0020189F"/>
    <w:rsid w:val="002025FC"/>
    <w:rsid w:val="00203A52"/>
    <w:rsid w:val="00204B3A"/>
    <w:rsid w:val="0020535A"/>
    <w:rsid w:val="00205642"/>
    <w:rsid w:val="002061BC"/>
    <w:rsid w:val="00206955"/>
    <w:rsid w:val="00207860"/>
    <w:rsid w:val="0020793E"/>
    <w:rsid w:val="00210309"/>
    <w:rsid w:val="00212694"/>
    <w:rsid w:val="00212FB8"/>
    <w:rsid w:val="00213104"/>
    <w:rsid w:val="00213709"/>
    <w:rsid w:val="00214400"/>
    <w:rsid w:val="002149AF"/>
    <w:rsid w:val="00214A86"/>
    <w:rsid w:val="00215AAA"/>
    <w:rsid w:val="0021683C"/>
    <w:rsid w:val="00216856"/>
    <w:rsid w:val="002201EA"/>
    <w:rsid w:val="00221985"/>
    <w:rsid w:val="00221EC5"/>
    <w:rsid w:val="00222291"/>
    <w:rsid w:val="00222A7A"/>
    <w:rsid w:val="002234D9"/>
    <w:rsid w:val="00224A2C"/>
    <w:rsid w:val="002256D9"/>
    <w:rsid w:val="00225882"/>
    <w:rsid w:val="00225FFF"/>
    <w:rsid w:val="0022687C"/>
    <w:rsid w:val="002269C0"/>
    <w:rsid w:val="00226FA5"/>
    <w:rsid w:val="002272DB"/>
    <w:rsid w:val="00227857"/>
    <w:rsid w:val="00227BDA"/>
    <w:rsid w:val="002306F8"/>
    <w:rsid w:val="002312F4"/>
    <w:rsid w:val="002313A2"/>
    <w:rsid w:val="00231FC7"/>
    <w:rsid w:val="00232930"/>
    <w:rsid w:val="00232A95"/>
    <w:rsid w:val="00232DD9"/>
    <w:rsid w:val="00233403"/>
    <w:rsid w:val="00233440"/>
    <w:rsid w:val="002334CC"/>
    <w:rsid w:val="00233D0E"/>
    <w:rsid w:val="002341C3"/>
    <w:rsid w:val="0023487D"/>
    <w:rsid w:val="00236450"/>
    <w:rsid w:val="0023765A"/>
    <w:rsid w:val="00237921"/>
    <w:rsid w:val="00237D27"/>
    <w:rsid w:val="00241311"/>
    <w:rsid w:val="00241F82"/>
    <w:rsid w:val="00242E22"/>
    <w:rsid w:val="0024336B"/>
    <w:rsid w:val="0024424F"/>
    <w:rsid w:val="00244595"/>
    <w:rsid w:val="00244D28"/>
    <w:rsid w:val="00245720"/>
    <w:rsid w:val="00245A6F"/>
    <w:rsid w:val="00245FD5"/>
    <w:rsid w:val="002465E4"/>
    <w:rsid w:val="002477DF"/>
    <w:rsid w:val="00250099"/>
    <w:rsid w:val="00250E05"/>
    <w:rsid w:val="00250E54"/>
    <w:rsid w:val="00251AD6"/>
    <w:rsid w:val="00252BBC"/>
    <w:rsid w:val="00252C17"/>
    <w:rsid w:val="0025307F"/>
    <w:rsid w:val="002551BD"/>
    <w:rsid w:val="00255F73"/>
    <w:rsid w:val="002568D0"/>
    <w:rsid w:val="00256B73"/>
    <w:rsid w:val="00262661"/>
    <w:rsid w:val="0026299C"/>
    <w:rsid w:val="002632DF"/>
    <w:rsid w:val="0026400A"/>
    <w:rsid w:val="002640BA"/>
    <w:rsid w:val="00264BAA"/>
    <w:rsid w:val="00264CF2"/>
    <w:rsid w:val="00266462"/>
    <w:rsid w:val="00267587"/>
    <w:rsid w:val="00270822"/>
    <w:rsid w:val="00271222"/>
    <w:rsid w:val="00271589"/>
    <w:rsid w:val="00271CF1"/>
    <w:rsid w:val="00273177"/>
    <w:rsid w:val="00275074"/>
    <w:rsid w:val="002758A4"/>
    <w:rsid w:val="002763E9"/>
    <w:rsid w:val="00276736"/>
    <w:rsid w:val="00284695"/>
    <w:rsid w:val="00284C7E"/>
    <w:rsid w:val="00284E32"/>
    <w:rsid w:val="002851EB"/>
    <w:rsid w:val="00285510"/>
    <w:rsid w:val="00285DE2"/>
    <w:rsid w:val="0028616D"/>
    <w:rsid w:val="002865E2"/>
    <w:rsid w:val="00286965"/>
    <w:rsid w:val="002869D5"/>
    <w:rsid w:val="00286A88"/>
    <w:rsid w:val="00286AE7"/>
    <w:rsid w:val="0029136E"/>
    <w:rsid w:val="00292399"/>
    <w:rsid w:val="0029294E"/>
    <w:rsid w:val="002930F9"/>
    <w:rsid w:val="00293D90"/>
    <w:rsid w:val="00294445"/>
    <w:rsid w:val="00294B4D"/>
    <w:rsid w:val="00294E53"/>
    <w:rsid w:val="002960D5"/>
    <w:rsid w:val="00296371"/>
    <w:rsid w:val="00297CC6"/>
    <w:rsid w:val="002A1062"/>
    <w:rsid w:val="002A2012"/>
    <w:rsid w:val="002A2413"/>
    <w:rsid w:val="002A2F5E"/>
    <w:rsid w:val="002A352A"/>
    <w:rsid w:val="002A607D"/>
    <w:rsid w:val="002B0878"/>
    <w:rsid w:val="002B132E"/>
    <w:rsid w:val="002B257E"/>
    <w:rsid w:val="002B2813"/>
    <w:rsid w:val="002B2D29"/>
    <w:rsid w:val="002B53A6"/>
    <w:rsid w:val="002B5DA0"/>
    <w:rsid w:val="002B7212"/>
    <w:rsid w:val="002C0C4B"/>
    <w:rsid w:val="002C1EEA"/>
    <w:rsid w:val="002C2600"/>
    <w:rsid w:val="002C47AD"/>
    <w:rsid w:val="002C6034"/>
    <w:rsid w:val="002C613E"/>
    <w:rsid w:val="002C635B"/>
    <w:rsid w:val="002C7CFF"/>
    <w:rsid w:val="002D067B"/>
    <w:rsid w:val="002D0BC6"/>
    <w:rsid w:val="002D11F7"/>
    <w:rsid w:val="002D17C5"/>
    <w:rsid w:val="002D365F"/>
    <w:rsid w:val="002D397A"/>
    <w:rsid w:val="002D406E"/>
    <w:rsid w:val="002D4127"/>
    <w:rsid w:val="002D5066"/>
    <w:rsid w:val="002D6E49"/>
    <w:rsid w:val="002D7C86"/>
    <w:rsid w:val="002E0692"/>
    <w:rsid w:val="002E1D74"/>
    <w:rsid w:val="002E2943"/>
    <w:rsid w:val="002E2CF1"/>
    <w:rsid w:val="002E34AF"/>
    <w:rsid w:val="002E3C3F"/>
    <w:rsid w:val="002E41AE"/>
    <w:rsid w:val="002E4AAC"/>
    <w:rsid w:val="002E53DE"/>
    <w:rsid w:val="002E563B"/>
    <w:rsid w:val="002E62D2"/>
    <w:rsid w:val="002E74AF"/>
    <w:rsid w:val="002E758C"/>
    <w:rsid w:val="002E7784"/>
    <w:rsid w:val="002F048F"/>
    <w:rsid w:val="002F1038"/>
    <w:rsid w:val="002F1B80"/>
    <w:rsid w:val="002F1CDB"/>
    <w:rsid w:val="002F22FF"/>
    <w:rsid w:val="002F2D8F"/>
    <w:rsid w:val="002F546C"/>
    <w:rsid w:val="002F62CF"/>
    <w:rsid w:val="002F695B"/>
    <w:rsid w:val="002F6F16"/>
    <w:rsid w:val="002F72DA"/>
    <w:rsid w:val="002F76B1"/>
    <w:rsid w:val="002F7CC8"/>
    <w:rsid w:val="002F7D66"/>
    <w:rsid w:val="002F7DBE"/>
    <w:rsid w:val="0030055E"/>
    <w:rsid w:val="0030090B"/>
    <w:rsid w:val="00300C1D"/>
    <w:rsid w:val="00301FB7"/>
    <w:rsid w:val="00302AE8"/>
    <w:rsid w:val="00302BB1"/>
    <w:rsid w:val="00303A23"/>
    <w:rsid w:val="00304210"/>
    <w:rsid w:val="003048D7"/>
    <w:rsid w:val="00304A1B"/>
    <w:rsid w:val="00304AD2"/>
    <w:rsid w:val="003062E6"/>
    <w:rsid w:val="003068B6"/>
    <w:rsid w:val="003071F6"/>
    <w:rsid w:val="00307FE0"/>
    <w:rsid w:val="00311944"/>
    <w:rsid w:val="00311C08"/>
    <w:rsid w:val="00312567"/>
    <w:rsid w:val="00312B9B"/>
    <w:rsid w:val="00312ECE"/>
    <w:rsid w:val="0031393C"/>
    <w:rsid w:val="00313CB0"/>
    <w:rsid w:val="00313F96"/>
    <w:rsid w:val="003150CE"/>
    <w:rsid w:val="00315AAB"/>
    <w:rsid w:val="003175E1"/>
    <w:rsid w:val="00317BD0"/>
    <w:rsid w:val="00320299"/>
    <w:rsid w:val="00321154"/>
    <w:rsid w:val="003211B0"/>
    <w:rsid w:val="00321EDA"/>
    <w:rsid w:val="0032235B"/>
    <w:rsid w:val="003224AA"/>
    <w:rsid w:val="003224E7"/>
    <w:rsid w:val="00323FF0"/>
    <w:rsid w:val="003254F7"/>
    <w:rsid w:val="00325CCE"/>
    <w:rsid w:val="00325D2C"/>
    <w:rsid w:val="00325D7A"/>
    <w:rsid w:val="00326145"/>
    <w:rsid w:val="00326D07"/>
    <w:rsid w:val="00327163"/>
    <w:rsid w:val="00327305"/>
    <w:rsid w:val="00327531"/>
    <w:rsid w:val="00330187"/>
    <w:rsid w:val="003303B6"/>
    <w:rsid w:val="00331C77"/>
    <w:rsid w:val="00331DB6"/>
    <w:rsid w:val="00331F96"/>
    <w:rsid w:val="00332817"/>
    <w:rsid w:val="00332B55"/>
    <w:rsid w:val="00335EA8"/>
    <w:rsid w:val="003363DD"/>
    <w:rsid w:val="00336B9B"/>
    <w:rsid w:val="003376DA"/>
    <w:rsid w:val="00340361"/>
    <w:rsid w:val="00340795"/>
    <w:rsid w:val="0034111C"/>
    <w:rsid w:val="0034114A"/>
    <w:rsid w:val="00341E60"/>
    <w:rsid w:val="0034217F"/>
    <w:rsid w:val="003421E0"/>
    <w:rsid w:val="00342AD2"/>
    <w:rsid w:val="00342DBB"/>
    <w:rsid w:val="0034308C"/>
    <w:rsid w:val="00343954"/>
    <w:rsid w:val="003450BD"/>
    <w:rsid w:val="0034535E"/>
    <w:rsid w:val="00345405"/>
    <w:rsid w:val="00345DDD"/>
    <w:rsid w:val="00346C1C"/>
    <w:rsid w:val="00346FED"/>
    <w:rsid w:val="0035007F"/>
    <w:rsid w:val="00351E01"/>
    <w:rsid w:val="00352D21"/>
    <w:rsid w:val="0035443D"/>
    <w:rsid w:val="00354FEE"/>
    <w:rsid w:val="003554FB"/>
    <w:rsid w:val="00356275"/>
    <w:rsid w:val="003569B7"/>
    <w:rsid w:val="00356B54"/>
    <w:rsid w:val="00356C0B"/>
    <w:rsid w:val="00357B9C"/>
    <w:rsid w:val="00357D7E"/>
    <w:rsid w:val="00361412"/>
    <w:rsid w:val="003615CA"/>
    <w:rsid w:val="00361700"/>
    <w:rsid w:val="00362E7F"/>
    <w:rsid w:val="003642A6"/>
    <w:rsid w:val="003649C1"/>
    <w:rsid w:val="00364C6B"/>
    <w:rsid w:val="00364DC4"/>
    <w:rsid w:val="00367337"/>
    <w:rsid w:val="00367367"/>
    <w:rsid w:val="00367DA6"/>
    <w:rsid w:val="00367FD8"/>
    <w:rsid w:val="00370B63"/>
    <w:rsid w:val="00370FCC"/>
    <w:rsid w:val="003711AF"/>
    <w:rsid w:val="00371EF8"/>
    <w:rsid w:val="00373FF7"/>
    <w:rsid w:val="00374848"/>
    <w:rsid w:val="00375D09"/>
    <w:rsid w:val="0037739D"/>
    <w:rsid w:val="0037751C"/>
    <w:rsid w:val="00380D76"/>
    <w:rsid w:val="00380F3F"/>
    <w:rsid w:val="00382232"/>
    <w:rsid w:val="00382F1A"/>
    <w:rsid w:val="00383282"/>
    <w:rsid w:val="00383658"/>
    <w:rsid w:val="00383927"/>
    <w:rsid w:val="0038412E"/>
    <w:rsid w:val="00384968"/>
    <w:rsid w:val="00385463"/>
    <w:rsid w:val="00386053"/>
    <w:rsid w:val="0038771D"/>
    <w:rsid w:val="003908F5"/>
    <w:rsid w:val="00393E44"/>
    <w:rsid w:val="00393F21"/>
    <w:rsid w:val="00394270"/>
    <w:rsid w:val="00397AB6"/>
    <w:rsid w:val="00397ACA"/>
    <w:rsid w:val="003A10C3"/>
    <w:rsid w:val="003A2F16"/>
    <w:rsid w:val="003A597F"/>
    <w:rsid w:val="003A71A8"/>
    <w:rsid w:val="003B00CA"/>
    <w:rsid w:val="003B030B"/>
    <w:rsid w:val="003B0432"/>
    <w:rsid w:val="003B0821"/>
    <w:rsid w:val="003B0BE9"/>
    <w:rsid w:val="003B0DAF"/>
    <w:rsid w:val="003B2898"/>
    <w:rsid w:val="003B2E9B"/>
    <w:rsid w:val="003B2F8D"/>
    <w:rsid w:val="003B4FAA"/>
    <w:rsid w:val="003B547A"/>
    <w:rsid w:val="003B68C8"/>
    <w:rsid w:val="003B6C6C"/>
    <w:rsid w:val="003B6CB0"/>
    <w:rsid w:val="003B75B9"/>
    <w:rsid w:val="003C0DA2"/>
    <w:rsid w:val="003C1A18"/>
    <w:rsid w:val="003C2902"/>
    <w:rsid w:val="003C3261"/>
    <w:rsid w:val="003C43D2"/>
    <w:rsid w:val="003C5C41"/>
    <w:rsid w:val="003C7461"/>
    <w:rsid w:val="003C7E20"/>
    <w:rsid w:val="003D0788"/>
    <w:rsid w:val="003D132A"/>
    <w:rsid w:val="003D1517"/>
    <w:rsid w:val="003D1A6F"/>
    <w:rsid w:val="003D1CEB"/>
    <w:rsid w:val="003D2938"/>
    <w:rsid w:val="003D2C75"/>
    <w:rsid w:val="003D3216"/>
    <w:rsid w:val="003D3FBA"/>
    <w:rsid w:val="003D402B"/>
    <w:rsid w:val="003D764F"/>
    <w:rsid w:val="003D7D81"/>
    <w:rsid w:val="003E0667"/>
    <w:rsid w:val="003E0BCE"/>
    <w:rsid w:val="003E13E0"/>
    <w:rsid w:val="003E1660"/>
    <w:rsid w:val="003E1C09"/>
    <w:rsid w:val="003E1CD1"/>
    <w:rsid w:val="003E1DC2"/>
    <w:rsid w:val="003E2A2D"/>
    <w:rsid w:val="003E2DC3"/>
    <w:rsid w:val="003E3497"/>
    <w:rsid w:val="003E38B8"/>
    <w:rsid w:val="003E3EF9"/>
    <w:rsid w:val="003E521F"/>
    <w:rsid w:val="003E5606"/>
    <w:rsid w:val="003E64A9"/>
    <w:rsid w:val="003E7002"/>
    <w:rsid w:val="003E7905"/>
    <w:rsid w:val="003F0336"/>
    <w:rsid w:val="003F1B56"/>
    <w:rsid w:val="003F2147"/>
    <w:rsid w:val="003F4488"/>
    <w:rsid w:val="003F5547"/>
    <w:rsid w:val="003F5C40"/>
    <w:rsid w:val="003F5C78"/>
    <w:rsid w:val="003F6700"/>
    <w:rsid w:val="003F6E12"/>
    <w:rsid w:val="003F75ED"/>
    <w:rsid w:val="004002B7"/>
    <w:rsid w:val="00400F31"/>
    <w:rsid w:val="00404844"/>
    <w:rsid w:val="00406B4D"/>
    <w:rsid w:val="00406ED7"/>
    <w:rsid w:val="00410559"/>
    <w:rsid w:val="004126BD"/>
    <w:rsid w:val="00413FAB"/>
    <w:rsid w:val="0041443C"/>
    <w:rsid w:val="004154F7"/>
    <w:rsid w:val="00416D44"/>
    <w:rsid w:val="00416EB8"/>
    <w:rsid w:val="004172D6"/>
    <w:rsid w:val="004176FF"/>
    <w:rsid w:val="00421A27"/>
    <w:rsid w:val="00421D0A"/>
    <w:rsid w:val="004238B8"/>
    <w:rsid w:val="004241C5"/>
    <w:rsid w:val="004244AF"/>
    <w:rsid w:val="00424FA7"/>
    <w:rsid w:val="00425397"/>
    <w:rsid w:val="00425D78"/>
    <w:rsid w:val="00426428"/>
    <w:rsid w:val="00426A87"/>
    <w:rsid w:val="004309D8"/>
    <w:rsid w:val="004313D1"/>
    <w:rsid w:val="00431FD5"/>
    <w:rsid w:val="00432110"/>
    <w:rsid w:val="00433EBE"/>
    <w:rsid w:val="00434406"/>
    <w:rsid w:val="00437A1D"/>
    <w:rsid w:val="00440FED"/>
    <w:rsid w:val="00441194"/>
    <w:rsid w:val="00441B0A"/>
    <w:rsid w:val="00441B92"/>
    <w:rsid w:val="00442607"/>
    <w:rsid w:val="00444190"/>
    <w:rsid w:val="0044474B"/>
    <w:rsid w:val="00445F09"/>
    <w:rsid w:val="00445FF7"/>
    <w:rsid w:val="0044633D"/>
    <w:rsid w:val="00450575"/>
    <w:rsid w:val="00453341"/>
    <w:rsid w:val="00453EF8"/>
    <w:rsid w:val="004543C5"/>
    <w:rsid w:val="004545C6"/>
    <w:rsid w:val="00454C21"/>
    <w:rsid w:val="00454DCA"/>
    <w:rsid w:val="004558EA"/>
    <w:rsid w:val="00455A54"/>
    <w:rsid w:val="00456006"/>
    <w:rsid w:val="004561C0"/>
    <w:rsid w:val="00456544"/>
    <w:rsid w:val="00456649"/>
    <w:rsid w:val="004567B7"/>
    <w:rsid w:val="00456856"/>
    <w:rsid w:val="00456C0F"/>
    <w:rsid w:val="004572A6"/>
    <w:rsid w:val="00457810"/>
    <w:rsid w:val="0046066F"/>
    <w:rsid w:val="00461210"/>
    <w:rsid w:val="00462490"/>
    <w:rsid w:val="00462A0A"/>
    <w:rsid w:val="00464EE8"/>
    <w:rsid w:val="00465299"/>
    <w:rsid w:val="00465C91"/>
    <w:rsid w:val="00466223"/>
    <w:rsid w:val="004663BB"/>
    <w:rsid w:val="00466A0F"/>
    <w:rsid w:val="0046795B"/>
    <w:rsid w:val="00470341"/>
    <w:rsid w:val="004708C0"/>
    <w:rsid w:val="004715CB"/>
    <w:rsid w:val="00471863"/>
    <w:rsid w:val="004718EA"/>
    <w:rsid w:val="00471A2A"/>
    <w:rsid w:val="00473293"/>
    <w:rsid w:val="00473A14"/>
    <w:rsid w:val="00474CA8"/>
    <w:rsid w:val="00474E43"/>
    <w:rsid w:val="00475A4A"/>
    <w:rsid w:val="0048076D"/>
    <w:rsid w:val="00480F9C"/>
    <w:rsid w:val="004817DD"/>
    <w:rsid w:val="00481C24"/>
    <w:rsid w:val="00481D90"/>
    <w:rsid w:val="00482CD4"/>
    <w:rsid w:val="00483261"/>
    <w:rsid w:val="00484021"/>
    <w:rsid w:val="00485843"/>
    <w:rsid w:val="00485B23"/>
    <w:rsid w:val="0048630D"/>
    <w:rsid w:val="00486EC8"/>
    <w:rsid w:val="0048748C"/>
    <w:rsid w:val="004874E4"/>
    <w:rsid w:val="004900C1"/>
    <w:rsid w:val="00490631"/>
    <w:rsid w:val="0049070D"/>
    <w:rsid w:val="00490885"/>
    <w:rsid w:val="004914A9"/>
    <w:rsid w:val="004916FC"/>
    <w:rsid w:val="00491BE4"/>
    <w:rsid w:val="00491DB2"/>
    <w:rsid w:val="00492877"/>
    <w:rsid w:val="00492B27"/>
    <w:rsid w:val="00492DED"/>
    <w:rsid w:val="00496DC2"/>
    <w:rsid w:val="00496E75"/>
    <w:rsid w:val="004A014C"/>
    <w:rsid w:val="004A0AA8"/>
    <w:rsid w:val="004A0D47"/>
    <w:rsid w:val="004A12D8"/>
    <w:rsid w:val="004A1FE4"/>
    <w:rsid w:val="004A2CA9"/>
    <w:rsid w:val="004A31BE"/>
    <w:rsid w:val="004A33EF"/>
    <w:rsid w:val="004A34C9"/>
    <w:rsid w:val="004A3CB5"/>
    <w:rsid w:val="004A441B"/>
    <w:rsid w:val="004A458D"/>
    <w:rsid w:val="004A537D"/>
    <w:rsid w:val="004A67F0"/>
    <w:rsid w:val="004A6EE8"/>
    <w:rsid w:val="004A71C3"/>
    <w:rsid w:val="004A74D2"/>
    <w:rsid w:val="004A7769"/>
    <w:rsid w:val="004B01BF"/>
    <w:rsid w:val="004B0DCB"/>
    <w:rsid w:val="004B1484"/>
    <w:rsid w:val="004B23AD"/>
    <w:rsid w:val="004B24E5"/>
    <w:rsid w:val="004B2965"/>
    <w:rsid w:val="004B4224"/>
    <w:rsid w:val="004B4647"/>
    <w:rsid w:val="004B5E52"/>
    <w:rsid w:val="004B64DB"/>
    <w:rsid w:val="004B7455"/>
    <w:rsid w:val="004B74FF"/>
    <w:rsid w:val="004B7CE4"/>
    <w:rsid w:val="004C0401"/>
    <w:rsid w:val="004C0C49"/>
    <w:rsid w:val="004C183D"/>
    <w:rsid w:val="004C1C8D"/>
    <w:rsid w:val="004C2669"/>
    <w:rsid w:val="004C3EC7"/>
    <w:rsid w:val="004C3EEE"/>
    <w:rsid w:val="004C483D"/>
    <w:rsid w:val="004C5BCC"/>
    <w:rsid w:val="004C6C7D"/>
    <w:rsid w:val="004C795A"/>
    <w:rsid w:val="004C7F93"/>
    <w:rsid w:val="004D08ED"/>
    <w:rsid w:val="004D26B8"/>
    <w:rsid w:val="004D38C2"/>
    <w:rsid w:val="004D4FBD"/>
    <w:rsid w:val="004D4FC0"/>
    <w:rsid w:val="004D59CA"/>
    <w:rsid w:val="004D6736"/>
    <w:rsid w:val="004D7DA8"/>
    <w:rsid w:val="004E0767"/>
    <w:rsid w:val="004E2892"/>
    <w:rsid w:val="004E362B"/>
    <w:rsid w:val="004E3681"/>
    <w:rsid w:val="004E3D74"/>
    <w:rsid w:val="004E4E87"/>
    <w:rsid w:val="004E784B"/>
    <w:rsid w:val="004E7ED0"/>
    <w:rsid w:val="004F0224"/>
    <w:rsid w:val="004F0DB4"/>
    <w:rsid w:val="004F0E04"/>
    <w:rsid w:val="004F1EBC"/>
    <w:rsid w:val="004F20E8"/>
    <w:rsid w:val="004F2DDD"/>
    <w:rsid w:val="004F3076"/>
    <w:rsid w:val="004F3B71"/>
    <w:rsid w:val="004F4B2F"/>
    <w:rsid w:val="004F5154"/>
    <w:rsid w:val="004F5835"/>
    <w:rsid w:val="004F661C"/>
    <w:rsid w:val="004F6A05"/>
    <w:rsid w:val="004F6D99"/>
    <w:rsid w:val="004F7070"/>
    <w:rsid w:val="004F7FF6"/>
    <w:rsid w:val="00500572"/>
    <w:rsid w:val="005010D1"/>
    <w:rsid w:val="00501304"/>
    <w:rsid w:val="00501425"/>
    <w:rsid w:val="005024E1"/>
    <w:rsid w:val="00502711"/>
    <w:rsid w:val="005036BE"/>
    <w:rsid w:val="00504311"/>
    <w:rsid w:val="0050485C"/>
    <w:rsid w:val="00504AC6"/>
    <w:rsid w:val="005073F1"/>
    <w:rsid w:val="0051033E"/>
    <w:rsid w:val="00510C5E"/>
    <w:rsid w:val="00511079"/>
    <w:rsid w:val="00511CDF"/>
    <w:rsid w:val="00511DA3"/>
    <w:rsid w:val="0051221F"/>
    <w:rsid w:val="00512829"/>
    <w:rsid w:val="00513839"/>
    <w:rsid w:val="00513B29"/>
    <w:rsid w:val="00513DEF"/>
    <w:rsid w:val="00513F57"/>
    <w:rsid w:val="0051423C"/>
    <w:rsid w:val="00514C91"/>
    <w:rsid w:val="005153CE"/>
    <w:rsid w:val="00516241"/>
    <w:rsid w:val="00516FD9"/>
    <w:rsid w:val="00517261"/>
    <w:rsid w:val="0051791D"/>
    <w:rsid w:val="00520930"/>
    <w:rsid w:val="00520D6D"/>
    <w:rsid w:val="00523148"/>
    <w:rsid w:val="00523E75"/>
    <w:rsid w:val="005243E0"/>
    <w:rsid w:val="005256F3"/>
    <w:rsid w:val="00525B2D"/>
    <w:rsid w:val="00525F32"/>
    <w:rsid w:val="005265A3"/>
    <w:rsid w:val="00526783"/>
    <w:rsid w:val="0052721C"/>
    <w:rsid w:val="0052785B"/>
    <w:rsid w:val="00527C99"/>
    <w:rsid w:val="00527FB1"/>
    <w:rsid w:val="005314C5"/>
    <w:rsid w:val="0053162F"/>
    <w:rsid w:val="00531777"/>
    <w:rsid w:val="0053281C"/>
    <w:rsid w:val="00532877"/>
    <w:rsid w:val="005340C9"/>
    <w:rsid w:val="0053449F"/>
    <w:rsid w:val="00535AF7"/>
    <w:rsid w:val="005375FE"/>
    <w:rsid w:val="00537DE2"/>
    <w:rsid w:val="0054044B"/>
    <w:rsid w:val="005420DE"/>
    <w:rsid w:val="00542249"/>
    <w:rsid w:val="0054226C"/>
    <w:rsid w:val="005431F5"/>
    <w:rsid w:val="00543707"/>
    <w:rsid w:val="00543EBB"/>
    <w:rsid w:val="00544213"/>
    <w:rsid w:val="005453F3"/>
    <w:rsid w:val="00545549"/>
    <w:rsid w:val="005463D1"/>
    <w:rsid w:val="0054644D"/>
    <w:rsid w:val="005467DC"/>
    <w:rsid w:val="005469F5"/>
    <w:rsid w:val="00547495"/>
    <w:rsid w:val="005503A9"/>
    <w:rsid w:val="00550751"/>
    <w:rsid w:val="005518ED"/>
    <w:rsid w:val="00552093"/>
    <w:rsid w:val="00553020"/>
    <w:rsid w:val="00554CD1"/>
    <w:rsid w:val="00554E4B"/>
    <w:rsid w:val="00555F67"/>
    <w:rsid w:val="00556605"/>
    <w:rsid w:val="0055723C"/>
    <w:rsid w:val="005606A4"/>
    <w:rsid w:val="005607B8"/>
    <w:rsid w:val="00560CF5"/>
    <w:rsid w:val="0056272D"/>
    <w:rsid w:val="00562BAB"/>
    <w:rsid w:val="0056308E"/>
    <w:rsid w:val="005638C1"/>
    <w:rsid w:val="0056415C"/>
    <w:rsid w:val="00564957"/>
    <w:rsid w:val="005649BF"/>
    <w:rsid w:val="005650ED"/>
    <w:rsid w:val="00565869"/>
    <w:rsid w:val="00566FDC"/>
    <w:rsid w:val="00567415"/>
    <w:rsid w:val="00567610"/>
    <w:rsid w:val="0057047A"/>
    <w:rsid w:val="00570C3A"/>
    <w:rsid w:val="00570D9F"/>
    <w:rsid w:val="00571CA8"/>
    <w:rsid w:val="00571FB9"/>
    <w:rsid w:val="00574771"/>
    <w:rsid w:val="005758DF"/>
    <w:rsid w:val="00576A4A"/>
    <w:rsid w:val="00580793"/>
    <w:rsid w:val="00581470"/>
    <w:rsid w:val="00581893"/>
    <w:rsid w:val="005818E0"/>
    <w:rsid w:val="00582087"/>
    <w:rsid w:val="005831DD"/>
    <w:rsid w:val="00584320"/>
    <w:rsid w:val="0058436F"/>
    <w:rsid w:val="005846A5"/>
    <w:rsid w:val="00585484"/>
    <w:rsid w:val="00587229"/>
    <w:rsid w:val="00587503"/>
    <w:rsid w:val="005877C3"/>
    <w:rsid w:val="00587F7F"/>
    <w:rsid w:val="00590530"/>
    <w:rsid w:val="00590E8D"/>
    <w:rsid w:val="00591511"/>
    <w:rsid w:val="00591DA3"/>
    <w:rsid w:val="00592F00"/>
    <w:rsid w:val="0059331A"/>
    <w:rsid w:val="0059378B"/>
    <w:rsid w:val="00595389"/>
    <w:rsid w:val="00596BBA"/>
    <w:rsid w:val="005972F8"/>
    <w:rsid w:val="005975C4"/>
    <w:rsid w:val="00597ED8"/>
    <w:rsid w:val="005A08F4"/>
    <w:rsid w:val="005A11D4"/>
    <w:rsid w:val="005A2D6D"/>
    <w:rsid w:val="005A34D5"/>
    <w:rsid w:val="005A3E12"/>
    <w:rsid w:val="005A423C"/>
    <w:rsid w:val="005A4904"/>
    <w:rsid w:val="005A4959"/>
    <w:rsid w:val="005A515A"/>
    <w:rsid w:val="005A6BC4"/>
    <w:rsid w:val="005A704D"/>
    <w:rsid w:val="005B09BB"/>
    <w:rsid w:val="005B1FF6"/>
    <w:rsid w:val="005B2B51"/>
    <w:rsid w:val="005B34D4"/>
    <w:rsid w:val="005B3C6D"/>
    <w:rsid w:val="005B3C76"/>
    <w:rsid w:val="005B4045"/>
    <w:rsid w:val="005B49A7"/>
    <w:rsid w:val="005B609E"/>
    <w:rsid w:val="005B6DF6"/>
    <w:rsid w:val="005B6EA6"/>
    <w:rsid w:val="005B780E"/>
    <w:rsid w:val="005B7B7D"/>
    <w:rsid w:val="005C0F71"/>
    <w:rsid w:val="005C16A8"/>
    <w:rsid w:val="005C1948"/>
    <w:rsid w:val="005C245F"/>
    <w:rsid w:val="005C263C"/>
    <w:rsid w:val="005C2679"/>
    <w:rsid w:val="005C3863"/>
    <w:rsid w:val="005C41D4"/>
    <w:rsid w:val="005D0079"/>
    <w:rsid w:val="005D059A"/>
    <w:rsid w:val="005D07C5"/>
    <w:rsid w:val="005D1FF8"/>
    <w:rsid w:val="005D3AB9"/>
    <w:rsid w:val="005D4302"/>
    <w:rsid w:val="005D430F"/>
    <w:rsid w:val="005D4590"/>
    <w:rsid w:val="005D5A20"/>
    <w:rsid w:val="005D786C"/>
    <w:rsid w:val="005E00E5"/>
    <w:rsid w:val="005E049F"/>
    <w:rsid w:val="005E2388"/>
    <w:rsid w:val="005E3073"/>
    <w:rsid w:val="005E316A"/>
    <w:rsid w:val="005E5E1A"/>
    <w:rsid w:val="005E6C16"/>
    <w:rsid w:val="005F0108"/>
    <w:rsid w:val="005F0ECC"/>
    <w:rsid w:val="005F21A5"/>
    <w:rsid w:val="005F2470"/>
    <w:rsid w:val="005F28C6"/>
    <w:rsid w:val="005F3F16"/>
    <w:rsid w:val="005F52CC"/>
    <w:rsid w:val="005F5E6F"/>
    <w:rsid w:val="005F62CD"/>
    <w:rsid w:val="005F6BD4"/>
    <w:rsid w:val="005F7985"/>
    <w:rsid w:val="0060004D"/>
    <w:rsid w:val="00600CEB"/>
    <w:rsid w:val="00601DF1"/>
    <w:rsid w:val="00602A84"/>
    <w:rsid w:val="00602AA1"/>
    <w:rsid w:val="00603131"/>
    <w:rsid w:val="00604367"/>
    <w:rsid w:val="006044BE"/>
    <w:rsid w:val="0060475F"/>
    <w:rsid w:val="00604E80"/>
    <w:rsid w:val="006060C2"/>
    <w:rsid w:val="00606A26"/>
    <w:rsid w:val="00607D81"/>
    <w:rsid w:val="00610747"/>
    <w:rsid w:val="00610E03"/>
    <w:rsid w:val="00610E35"/>
    <w:rsid w:val="0061176E"/>
    <w:rsid w:val="006131CB"/>
    <w:rsid w:val="0061417F"/>
    <w:rsid w:val="00614CD1"/>
    <w:rsid w:val="0061567B"/>
    <w:rsid w:val="0061575B"/>
    <w:rsid w:val="00615BEA"/>
    <w:rsid w:val="006176DB"/>
    <w:rsid w:val="00620687"/>
    <w:rsid w:val="0062152A"/>
    <w:rsid w:val="00621E3C"/>
    <w:rsid w:val="00622FCB"/>
    <w:rsid w:val="00623583"/>
    <w:rsid w:val="00624049"/>
    <w:rsid w:val="00624477"/>
    <w:rsid w:val="0062462F"/>
    <w:rsid w:val="00624BA1"/>
    <w:rsid w:val="00624D71"/>
    <w:rsid w:val="0062661B"/>
    <w:rsid w:val="0062796B"/>
    <w:rsid w:val="00627991"/>
    <w:rsid w:val="00630118"/>
    <w:rsid w:val="00630959"/>
    <w:rsid w:val="006310AE"/>
    <w:rsid w:val="00631762"/>
    <w:rsid w:val="00632196"/>
    <w:rsid w:val="00633BF2"/>
    <w:rsid w:val="00633F67"/>
    <w:rsid w:val="006345C3"/>
    <w:rsid w:val="006362F9"/>
    <w:rsid w:val="006369A9"/>
    <w:rsid w:val="006373AA"/>
    <w:rsid w:val="006373CD"/>
    <w:rsid w:val="006403AC"/>
    <w:rsid w:val="0064165D"/>
    <w:rsid w:val="006433BD"/>
    <w:rsid w:val="00643784"/>
    <w:rsid w:val="00644186"/>
    <w:rsid w:val="00644A21"/>
    <w:rsid w:val="00644B4F"/>
    <w:rsid w:val="00644D21"/>
    <w:rsid w:val="00645C9F"/>
    <w:rsid w:val="00646305"/>
    <w:rsid w:val="006468A1"/>
    <w:rsid w:val="00646A6C"/>
    <w:rsid w:val="006475E6"/>
    <w:rsid w:val="006508B9"/>
    <w:rsid w:val="00650CA1"/>
    <w:rsid w:val="0065115C"/>
    <w:rsid w:val="00651854"/>
    <w:rsid w:val="006519F8"/>
    <w:rsid w:val="00653809"/>
    <w:rsid w:val="006539E8"/>
    <w:rsid w:val="006550C0"/>
    <w:rsid w:val="00655E51"/>
    <w:rsid w:val="00656306"/>
    <w:rsid w:val="006565D8"/>
    <w:rsid w:val="00656649"/>
    <w:rsid w:val="00656B96"/>
    <w:rsid w:val="00656CF4"/>
    <w:rsid w:val="00656ED9"/>
    <w:rsid w:val="0065736B"/>
    <w:rsid w:val="00657AE5"/>
    <w:rsid w:val="00657C5F"/>
    <w:rsid w:val="0066025B"/>
    <w:rsid w:val="006611B8"/>
    <w:rsid w:val="006619B0"/>
    <w:rsid w:val="00662012"/>
    <w:rsid w:val="00662543"/>
    <w:rsid w:val="006626D0"/>
    <w:rsid w:val="00662D78"/>
    <w:rsid w:val="00663BF2"/>
    <w:rsid w:val="00663EAE"/>
    <w:rsid w:val="00664341"/>
    <w:rsid w:val="00664E8C"/>
    <w:rsid w:val="00665138"/>
    <w:rsid w:val="0066528A"/>
    <w:rsid w:val="00665EA8"/>
    <w:rsid w:val="00665F7C"/>
    <w:rsid w:val="0066699A"/>
    <w:rsid w:val="00666A92"/>
    <w:rsid w:val="00666DFC"/>
    <w:rsid w:val="00666EBB"/>
    <w:rsid w:val="00667385"/>
    <w:rsid w:val="0066779E"/>
    <w:rsid w:val="0067269D"/>
    <w:rsid w:val="00672988"/>
    <w:rsid w:val="00672C64"/>
    <w:rsid w:val="0067499F"/>
    <w:rsid w:val="00674E6A"/>
    <w:rsid w:val="00676A64"/>
    <w:rsid w:val="00677925"/>
    <w:rsid w:val="00677A6E"/>
    <w:rsid w:val="0068043E"/>
    <w:rsid w:val="00680F46"/>
    <w:rsid w:val="00681FDC"/>
    <w:rsid w:val="006829E8"/>
    <w:rsid w:val="00682B53"/>
    <w:rsid w:val="00682F27"/>
    <w:rsid w:val="006839E6"/>
    <w:rsid w:val="00683E46"/>
    <w:rsid w:val="00683F93"/>
    <w:rsid w:val="0069011A"/>
    <w:rsid w:val="00690E2E"/>
    <w:rsid w:val="006915D7"/>
    <w:rsid w:val="006927AC"/>
    <w:rsid w:val="00692814"/>
    <w:rsid w:val="006932E7"/>
    <w:rsid w:val="00693347"/>
    <w:rsid w:val="0069334C"/>
    <w:rsid w:val="006960DC"/>
    <w:rsid w:val="00696D63"/>
    <w:rsid w:val="006A032F"/>
    <w:rsid w:val="006A41AE"/>
    <w:rsid w:val="006A4856"/>
    <w:rsid w:val="006A564B"/>
    <w:rsid w:val="006A7546"/>
    <w:rsid w:val="006A757C"/>
    <w:rsid w:val="006B08CF"/>
    <w:rsid w:val="006B0B29"/>
    <w:rsid w:val="006B0B90"/>
    <w:rsid w:val="006B10EA"/>
    <w:rsid w:val="006B1470"/>
    <w:rsid w:val="006B1545"/>
    <w:rsid w:val="006B2DA7"/>
    <w:rsid w:val="006B2F4D"/>
    <w:rsid w:val="006B3682"/>
    <w:rsid w:val="006B48CB"/>
    <w:rsid w:val="006B576F"/>
    <w:rsid w:val="006B5D9E"/>
    <w:rsid w:val="006B5EC9"/>
    <w:rsid w:val="006B6034"/>
    <w:rsid w:val="006C08C5"/>
    <w:rsid w:val="006C11DD"/>
    <w:rsid w:val="006C1445"/>
    <w:rsid w:val="006C17A2"/>
    <w:rsid w:val="006C3959"/>
    <w:rsid w:val="006C3B36"/>
    <w:rsid w:val="006C43E6"/>
    <w:rsid w:val="006C4FC1"/>
    <w:rsid w:val="006C51A5"/>
    <w:rsid w:val="006C529D"/>
    <w:rsid w:val="006C7CC9"/>
    <w:rsid w:val="006C7D45"/>
    <w:rsid w:val="006D0A81"/>
    <w:rsid w:val="006D0B24"/>
    <w:rsid w:val="006D0E6B"/>
    <w:rsid w:val="006D1073"/>
    <w:rsid w:val="006D2146"/>
    <w:rsid w:val="006D4E7A"/>
    <w:rsid w:val="006D632E"/>
    <w:rsid w:val="006D6CA7"/>
    <w:rsid w:val="006E01FF"/>
    <w:rsid w:val="006E094A"/>
    <w:rsid w:val="006E12B1"/>
    <w:rsid w:val="006E13D1"/>
    <w:rsid w:val="006E1C1E"/>
    <w:rsid w:val="006E283E"/>
    <w:rsid w:val="006E2F8C"/>
    <w:rsid w:val="006E4D0C"/>
    <w:rsid w:val="006E4D1B"/>
    <w:rsid w:val="006E509A"/>
    <w:rsid w:val="006E5B78"/>
    <w:rsid w:val="006E6BA3"/>
    <w:rsid w:val="006F01EB"/>
    <w:rsid w:val="006F0D1F"/>
    <w:rsid w:val="006F1116"/>
    <w:rsid w:val="006F1206"/>
    <w:rsid w:val="006F3196"/>
    <w:rsid w:val="006F3489"/>
    <w:rsid w:val="006F3C54"/>
    <w:rsid w:val="006F3D76"/>
    <w:rsid w:val="006F4ACC"/>
    <w:rsid w:val="006F4F99"/>
    <w:rsid w:val="006F5E64"/>
    <w:rsid w:val="006F60DE"/>
    <w:rsid w:val="006F6BBD"/>
    <w:rsid w:val="006F7914"/>
    <w:rsid w:val="006F7B8B"/>
    <w:rsid w:val="006F7E46"/>
    <w:rsid w:val="007002E4"/>
    <w:rsid w:val="00700AB4"/>
    <w:rsid w:val="00700FCA"/>
    <w:rsid w:val="00701645"/>
    <w:rsid w:val="00702579"/>
    <w:rsid w:val="00702D5A"/>
    <w:rsid w:val="00702EF7"/>
    <w:rsid w:val="00703989"/>
    <w:rsid w:val="007042E9"/>
    <w:rsid w:val="007044E2"/>
    <w:rsid w:val="007045DA"/>
    <w:rsid w:val="0071118B"/>
    <w:rsid w:val="007115D2"/>
    <w:rsid w:val="00711E13"/>
    <w:rsid w:val="00712EDA"/>
    <w:rsid w:val="007136D0"/>
    <w:rsid w:val="0071528E"/>
    <w:rsid w:val="007155A9"/>
    <w:rsid w:val="007158E1"/>
    <w:rsid w:val="0071705B"/>
    <w:rsid w:val="0071740A"/>
    <w:rsid w:val="00717966"/>
    <w:rsid w:val="00720505"/>
    <w:rsid w:val="007236A3"/>
    <w:rsid w:val="007239B6"/>
    <w:rsid w:val="0072490A"/>
    <w:rsid w:val="0072517D"/>
    <w:rsid w:val="00726878"/>
    <w:rsid w:val="0072791B"/>
    <w:rsid w:val="00727C98"/>
    <w:rsid w:val="00730D02"/>
    <w:rsid w:val="0073124A"/>
    <w:rsid w:val="007317FF"/>
    <w:rsid w:val="00731B79"/>
    <w:rsid w:val="00733893"/>
    <w:rsid w:val="00734A05"/>
    <w:rsid w:val="00735C6F"/>
    <w:rsid w:val="00735F4F"/>
    <w:rsid w:val="007366CF"/>
    <w:rsid w:val="007375DE"/>
    <w:rsid w:val="007408D5"/>
    <w:rsid w:val="00741C59"/>
    <w:rsid w:val="00742422"/>
    <w:rsid w:val="00742B44"/>
    <w:rsid w:val="00742FA7"/>
    <w:rsid w:val="00745540"/>
    <w:rsid w:val="0074655A"/>
    <w:rsid w:val="007469B7"/>
    <w:rsid w:val="00747640"/>
    <w:rsid w:val="00753BB5"/>
    <w:rsid w:val="007547B2"/>
    <w:rsid w:val="0075660B"/>
    <w:rsid w:val="00756832"/>
    <w:rsid w:val="0075741E"/>
    <w:rsid w:val="0076266E"/>
    <w:rsid w:val="007626D0"/>
    <w:rsid w:val="007651CA"/>
    <w:rsid w:val="00767519"/>
    <w:rsid w:val="00767EE3"/>
    <w:rsid w:val="007704E1"/>
    <w:rsid w:val="007719F8"/>
    <w:rsid w:val="00772569"/>
    <w:rsid w:val="00772E8C"/>
    <w:rsid w:val="007730D8"/>
    <w:rsid w:val="007736D3"/>
    <w:rsid w:val="00773889"/>
    <w:rsid w:val="00773B54"/>
    <w:rsid w:val="00774502"/>
    <w:rsid w:val="0077500F"/>
    <w:rsid w:val="0077548E"/>
    <w:rsid w:val="0077580E"/>
    <w:rsid w:val="00776388"/>
    <w:rsid w:val="00776CB9"/>
    <w:rsid w:val="00777315"/>
    <w:rsid w:val="0077767A"/>
    <w:rsid w:val="007802E4"/>
    <w:rsid w:val="00780919"/>
    <w:rsid w:val="007826C8"/>
    <w:rsid w:val="00782972"/>
    <w:rsid w:val="00784190"/>
    <w:rsid w:val="0078457B"/>
    <w:rsid w:val="00784756"/>
    <w:rsid w:val="007852C7"/>
    <w:rsid w:val="0078539D"/>
    <w:rsid w:val="007856C1"/>
    <w:rsid w:val="0078656D"/>
    <w:rsid w:val="00786CC4"/>
    <w:rsid w:val="00787051"/>
    <w:rsid w:val="0079018D"/>
    <w:rsid w:val="0079101F"/>
    <w:rsid w:val="00791A00"/>
    <w:rsid w:val="00791BF8"/>
    <w:rsid w:val="00791DBA"/>
    <w:rsid w:val="00791E66"/>
    <w:rsid w:val="00792CEE"/>
    <w:rsid w:val="00793144"/>
    <w:rsid w:val="00794C56"/>
    <w:rsid w:val="00794E92"/>
    <w:rsid w:val="0079656A"/>
    <w:rsid w:val="00796971"/>
    <w:rsid w:val="00796D86"/>
    <w:rsid w:val="00796F15"/>
    <w:rsid w:val="007A138F"/>
    <w:rsid w:val="007A1640"/>
    <w:rsid w:val="007A18BA"/>
    <w:rsid w:val="007A1D6A"/>
    <w:rsid w:val="007A2559"/>
    <w:rsid w:val="007A2EFD"/>
    <w:rsid w:val="007A36A9"/>
    <w:rsid w:val="007A39DF"/>
    <w:rsid w:val="007A43ED"/>
    <w:rsid w:val="007A4997"/>
    <w:rsid w:val="007A4BDD"/>
    <w:rsid w:val="007A4C98"/>
    <w:rsid w:val="007A72EE"/>
    <w:rsid w:val="007B0352"/>
    <w:rsid w:val="007B0397"/>
    <w:rsid w:val="007B056C"/>
    <w:rsid w:val="007B3502"/>
    <w:rsid w:val="007B44ED"/>
    <w:rsid w:val="007B491A"/>
    <w:rsid w:val="007B4BC8"/>
    <w:rsid w:val="007B4E9F"/>
    <w:rsid w:val="007B5370"/>
    <w:rsid w:val="007B61F5"/>
    <w:rsid w:val="007B6335"/>
    <w:rsid w:val="007B63FA"/>
    <w:rsid w:val="007B73B3"/>
    <w:rsid w:val="007B7496"/>
    <w:rsid w:val="007B7AF5"/>
    <w:rsid w:val="007C0802"/>
    <w:rsid w:val="007C12BE"/>
    <w:rsid w:val="007C1B2E"/>
    <w:rsid w:val="007C2739"/>
    <w:rsid w:val="007C4B0F"/>
    <w:rsid w:val="007C4DAD"/>
    <w:rsid w:val="007C4E9F"/>
    <w:rsid w:val="007C501D"/>
    <w:rsid w:val="007C54DF"/>
    <w:rsid w:val="007C5830"/>
    <w:rsid w:val="007C5DB8"/>
    <w:rsid w:val="007C6CA2"/>
    <w:rsid w:val="007D05B2"/>
    <w:rsid w:val="007D0C44"/>
    <w:rsid w:val="007D1972"/>
    <w:rsid w:val="007D1F33"/>
    <w:rsid w:val="007D2146"/>
    <w:rsid w:val="007D24BF"/>
    <w:rsid w:val="007D3307"/>
    <w:rsid w:val="007D33DA"/>
    <w:rsid w:val="007D432A"/>
    <w:rsid w:val="007D5E27"/>
    <w:rsid w:val="007D6F64"/>
    <w:rsid w:val="007D7D9D"/>
    <w:rsid w:val="007E25AB"/>
    <w:rsid w:val="007E2C70"/>
    <w:rsid w:val="007E331D"/>
    <w:rsid w:val="007E3C7B"/>
    <w:rsid w:val="007E4345"/>
    <w:rsid w:val="007E44E7"/>
    <w:rsid w:val="007E5AC2"/>
    <w:rsid w:val="007E6999"/>
    <w:rsid w:val="007E79C5"/>
    <w:rsid w:val="007F0036"/>
    <w:rsid w:val="007F0CDC"/>
    <w:rsid w:val="007F143A"/>
    <w:rsid w:val="007F1618"/>
    <w:rsid w:val="007F26F7"/>
    <w:rsid w:val="007F2845"/>
    <w:rsid w:val="007F41A0"/>
    <w:rsid w:val="007F43BC"/>
    <w:rsid w:val="007F44D7"/>
    <w:rsid w:val="007F4740"/>
    <w:rsid w:val="007F5CEB"/>
    <w:rsid w:val="00800229"/>
    <w:rsid w:val="008006C6"/>
    <w:rsid w:val="00800C52"/>
    <w:rsid w:val="00800DC4"/>
    <w:rsid w:val="0080153E"/>
    <w:rsid w:val="008039EB"/>
    <w:rsid w:val="0080742D"/>
    <w:rsid w:val="008100AC"/>
    <w:rsid w:val="0081151E"/>
    <w:rsid w:val="00812498"/>
    <w:rsid w:val="0081263E"/>
    <w:rsid w:val="008127E6"/>
    <w:rsid w:val="0081336E"/>
    <w:rsid w:val="00813928"/>
    <w:rsid w:val="00814057"/>
    <w:rsid w:val="00820DC7"/>
    <w:rsid w:val="00820FFB"/>
    <w:rsid w:val="00821698"/>
    <w:rsid w:val="008221FE"/>
    <w:rsid w:val="00822BF5"/>
    <w:rsid w:val="00824894"/>
    <w:rsid w:val="00824F51"/>
    <w:rsid w:val="00825366"/>
    <w:rsid w:val="00826C7B"/>
    <w:rsid w:val="00826DD9"/>
    <w:rsid w:val="00826E01"/>
    <w:rsid w:val="008277A8"/>
    <w:rsid w:val="008278B6"/>
    <w:rsid w:val="008307ED"/>
    <w:rsid w:val="00832918"/>
    <w:rsid w:val="0083350F"/>
    <w:rsid w:val="00834358"/>
    <w:rsid w:val="008346BD"/>
    <w:rsid w:val="00835FB4"/>
    <w:rsid w:val="00836843"/>
    <w:rsid w:val="00836B7A"/>
    <w:rsid w:val="0083705F"/>
    <w:rsid w:val="008407D6"/>
    <w:rsid w:val="008409AA"/>
    <w:rsid w:val="00840FB8"/>
    <w:rsid w:val="00842529"/>
    <w:rsid w:val="00843316"/>
    <w:rsid w:val="0084353E"/>
    <w:rsid w:val="00843A7A"/>
    <w:rsid w:val="008447F5"/>
    <w:rsid w:val="00845D44"/>
    <w:rsid w:val="00846292"/>
    <w:rsid w:val="00847885"/>
    <w:rsid w:val="00850413"/>
    <w:rsid w:val="008506E1"/>
    <w:rsid w:val="008515EE"/>
    <w:rsid w:val="008517E9"/>
    <w:rsid w:val="0085248D"/>
    <w:rsid w:val="008528D3"/>
    <w:rsid w:val="00853C8B"/>
    <w:rsid w:val="00854553"/>
    <w:rsid w:val="00854CCF"/>
    <w:rsid w:val="00855B86"/>
    <w:rsid w:val="008565F1"/>
    <w:rsid w:val="00857774"/>
    <w:rsid w:val="0086042D"/>
    <w:rsid w:val="00860874"/>
    <w:rsid w:val="00862008"/>
    <w:rsid w:val="00862720"/>
    <w:rsid w:val="008628C8"/>
    <w:rsid w:val="00862B2A"/>
    <w:rsid w:val="008630B9"/>
    <w:rsid w:val="00863F37"/>
    <w:rsid w:val="0086406B"/>
    <w:rsid w:val="008643CF"/>
    <w:rsid w:val="00864C8C"/>
    <w:rsid w:val="00865264"/>
    <w:rsid w:val="00866746"/>
    <w:rsid w:val="00866A11"/>
    <w:rsid w:val="00867651"/>
    <w:rsid w:val="00870D04"/>
    <w:rsid w:val="0087121B"/>
    <w:rsid w:val="008714B6"/>
    <w:rsid w:val="008714DB"/>
    <w:rsid w:val="008743F3"/>
    <w:rsid w:val="0087444A"/>
    <w:rsid w:val="00875139"/>
    <w:rsid w:val="00875410"/>
    <w:rsid w:val="00875659"/>
    <w:rsid w:val="00876BB3"/>
    <w:rsid w:val="00880783"/>
    <w:rsid w:val="008808D5"/>
    <w:rsid w:val="00880EDF"/>
    <w:rsid w:val="00881B9F"/>
    <w:rsid w:val="00881D4F"/>
    <w:rsid w:val="00882DE6"/>
    <w:rsid w:val="00883D4D"/>
    <w:rsid w:val="0088444E"/>
    <w:rsid w:val="0088448E"/>
    <w:rsid w:val="00884A27"/>
    <w:rsid w:val="00884B59"/>
    <w:rsid w:val="008850BA"/>
    <w:rsid w:val="008857F2"/>
    <w:rsid w:val="0088583D"/>
    <w:rsid w:val="00885876"/>
    <w:rsid w:val="00886185"/>
    <w:rsid w:val="008861D9"/>
    <w:rsid w:val="0088638C"/>
    <w:rsid w:val="00886EDF"/>
    <w:rsid w:val="00887CEE"/>
    <w:rsid w:val="008908E5"/>
    <w:rsid w:val="00891216"/>
    <w:rsid w:val="00891F81"/>
    <w:rsid w:val="00894FDC"/>
    <w:rsid w:val="008960BE"/>
    <w:rsid w:val="00897FA4"/>
    <w:rsid w:val="008A1094"/>
    <w:rsid w:val="008A16F9"/>
    <w:rsid w:val="008A1844"/>
    <w:rsid w:val="008A1D3E"/>
    <w:rsid w:val="008A4B16"/>
    <w:rsid w:val="008A4D63"/>
    <w:rsid w:val="008A52D1"/>
    <w:rsid w:val="008A6D62"/>
    <w:rsid w:val="008B13E9"/>
    <w:rsid w:val="008B3B51"/>
    <w:rsid w:val="008B4057"/>
    <w:rsid w:val="008B40E6"/>
    <w:rsid w:val="008B4145"/>
    <w:rsid w:val="008B4CAC"/>
    <w:rsid w:val="008B5290"/>
    <w:rsid w:val="008B68D1"/>
    <w:rsid w:val="008B6C00"/>
    <w:rsid w:val="008C2B64"/>
    <w:rsid w:val="008C2CFD"/>
    <w:rsid w:val="008C3E9C"/>
    <w:rsid w:val="008C4D5E"/>
    <w:rsid w:val="008C56C8"/>
    <w:rsid w:val="008C57D6"/>
    <w:rsid w:val="008C603A"/>
    <w:rsid w:val="008C71C8"/>
    <w:rsid w:val="008D167D"/>
    <w:rsid w:val="008D261F"/>
    <w:rsid w:val="008D2B53"/>
    <w:rsid w:val="008D3640"/>
    <w:rsid w:val="008D463B"/>
    <w:rsid w:val="008D492A"/>
    <w:rsid w:val="008D4B58"/>
    <w:rsid w:val="008D4B8A"/>
    <w:rsid w:val="008D5A2A"/>
    <w:rsid w:val="008D6541"/>
    <w:rsid w:val="008D7D7B"/>
    <w:rsid w:val="008E0F52"/>
    <w:rsid w:val="008E183F"/>
    <w:rsid w:val="008E2316"/>
    <w:rsid w:val="008E26FF"/>
    <w:rsid w:val="008E2917"/>
    <w:rsid w:val="008E3322"/>
    <w:rsid w:val="008E34BE"/>
    <w:rsid w:val="008E3CF8"/>
    <w:rsid w:val="008E42F4"/>
    <w:rsid w:val="008E5307"/>
    <w:rsid w:val="008E5657"/>
    <w:rsid w:val="008E5CA2"/>
    <w:rsid w:val="008E5E51"/>
    <w:rsid w:val="008E65F2"/>
    <w:rsid w:val="008E66E2"/>
    <w:rsid w:val="008E721F"/>
    <w:rsid w:val="008E7D63"/>
    <w:rsid w:val="008F00DB"/>
    <w:rsid w:val="008F03E0"/>
    <w:rsid w:val="008F0BCD"/>
    <w:rsid w:val="008F110E"/>
    <w:rsid w:val="008F1264"/>
    <w:rsid w:val="008F47C6"/>
    <w:rsid w:val="008F5948"/>
    <w:rsid w:val="009006A2"/>
    <w:rsid w:val="009007A5"/>
    <w:rsid w:val="0090102B"/>
    <w:rsid w:val="00901448"/>
    <w:rsid w:val="00901CBE"/>
    <w:rsid w:val="00901E29"/>
    <w:rsid w:val="009030A9"/>
    <w:rsid w:val="009036BC"/>
    <w:rsid w:val="0090425F"/>
    <w:rsid w:val="009043FF"/>
    <w:rsid w:val="00905C47"/>
    <w:rsid w:val="00906379"/>
    <w:rsid w:val="0090638B"/>
    <w:rsid w:val="00906393"/>
    <w:rsid w:val="009101EA"/>
    <w:rsid w:val="009106FC"/>
    <w:rsid w:val="0091090F"/>
    <w:rsid w:val="00911896"/>
    <w:rsid w:val="009118BB"/>
    <w:rsid w:val="0091191F"/>
    <w:rsid w:val="00913F7F"/>
    <w:rsid w:val="00915B81"/>
    <w:rsid w:val="00915D6B"/>
    <w:rsid w:val="009160DF"/>
    <w:rsid w:val="009162C7"/>
    <w:rsid w:val="00916EC2"/>
    <w:rsid w:val="009213BD"/>
    <w:rsid w:val="00924627"/>
    <w:rsid w:val="009249EB"/>
    <w:rsid w:val="009250A8"/>
    <w:rsid w:val="009251C8"/>
    <w:rsid w:val="00925BE6"/>
    <w:rsid w:val="00926F61"/>
    <w:rsid w:val="009277A2"/>
    <w:rsid w:val="00930879"/>
    <w:rsid w:val="0093123D"/>
    <w:rsid w:val="00932E61"/>
    <w:rsid w:val="0093303A"/>
    <w:rsid w:val="00933040"/>
    <w:rsid w:val="009330E9"/>
    <w:rsid w:val="00933AC6"/>
    <w:rsid w:val="00935D15"/>
    <w:rsid w:val="009411FB"/>
    <w:rsid w:val="009414A9"/>
    <w:rsid w:val="00941880"/>
    <w:rsid w:val="00941B71"/>
    <w:rsid w:val="009421AD"/>
    <w:rsid w:val="0094221C"/>
    <w:rsid w:val="009422A9"/>
    <w:rsid w:val="0094262D"/>
    <w:rsid w:val="0094409C"/>
    <w:rsid w:val="00944159"/>
    <w:rsid w:val="009444D9"/>
    <w:rsid w:val="009449B2"/>
    <w:rsid w:val="00944A82"/>
    <w:rsid w:val="0094601F"/>
    <w:rsid w:val="00946C4D"/>
    <w:rsid w:val="00950387"/>
    <w:rsid w:val="0095285B"/>
    <w:rsid w:val="00953099"/>
    <w:rsid w:val="00953FE9"/>
    <w:rsid w:val="009544CF"/>
    <w:rsid w:val="0095481C"/>
    <w:rsid w:val="0095569E"/>
    <w:rsid w:val="009567E6"/>
    <w:rsid w:val="00957076"/>
    <w:rsid w:val="00957132"/>
    <w:rsid w:val="009576FD"/>
    <w:rsid w:val="009578EB"/>
    <w:rsid w:val="009578FF"/>
    <w:rsid w:val="00960446"/>
    <w:rsid w:val="009610ED"/>
    <w:rsid w:val="00961A13"/>
    <w:rsid w:val="00961DDB"/>
    <w:rsid w:val="00963085"/>
    <w:rsid w:val="009633BB"/>
    <w:rsid w:val="0096485F"/>
    <w:rsid w:val="00965609"/>
    <w:rsid w:val="00966B46"/>
    <w:rsid w:val="0096718D"/>
    <w:rsid w:val="0096726D"/>
    <w:rsid w:val="00967354"/>
    <w:rsid w:val="00971592"/>
    <w:rsid w:val="00971DDF"/>
    <w:rsid w:val="009731D6"/>
    <w:rsid w:val="00974746"/>
    <w:rsid w:val="00974C40"/>
    <w:rsid w:val="00975119"/>
    <w:rsid w:val="009766A5"/>
    <w:rsid w:val="00976F04"/>
    <w:rsid w:val="009775E9"/>
    <w:rsid w:val="009777F4"/>
    <w:rsid w:val="00977AD8"/>
    <w:rsid w:val="00980A10"/>
    <w:rsid w:val="00981130"/>
    <w:rsid w:val="00983038"/>
    <w:rsid w:val="00983A9E"/>
    <w:rsid w:val="00983D46"/>
    <w:rsid w:val="00983DCA"/>
    <w:rsid w:val="009852D0"/>
    <w:rsid w:val="00985EF7"/>
    <w:rsid w:val="00986396"/>
    <w:rsid w:val="00986CF9"/>
    <w:rsid w:val="00987416"/>
    <w:rsid w:val="009907E2"/>
    <w:rsid w:val="00990C0E"/>
    <w:rsid w:val="00990D75"/>
    <w:rsid w:val="00991093"/>
    <w:rsid w:val="0099163B"/>
    <w:rsid w:val="00992343"/>
    <w:rsid w:val="00992851"/>
    <w:rsid w:val="00993853"/>
    <w:rsid w:val="00994D4F"/>
    <w:rsid w:val="00996306"/>
    <w:rsid w:val="00996744"/>
    <w:rsid w:val="009967DA"/>
    <w:rsid w:val="00997CF4"/>
    <w:rsid w:val="009A1169"/>
    <w:rsid w:val="009A1AAC"/>
    <w:rsid w:val="009A3789"/>
    <w:rsid w:val="009A4818"/>
    <w:rsid w:val="009A4860"/>
    <w:rsid w:val="009A6919"/>
    <w:rsid w:val="009A6AC7"/>
    <w:rsid w:val="009A6CC2"/>
    <w:rsid w:val="009A7831"/>
    <w:rsid w:val="009B0408"/>
    <w:rsid w:val="009B0843"/>
    <w:rsid w:val="009B1E47"/>
    <w:rsid w:val="009B2A54"/>
    <w:rsid w:val="009B2CED"/>
    <w:rsid w:val="009B3338"/>
    <w:rsid w:val="009B345D"/>
    <w:rsid w:val="009B414C"/>
    <w:rsid w:val="009B5A4D"/>
    <w:rsid w:val="009B7321"/>
    <w:rsid w:val="009B7A72"/>
    <w:rsid w:val="009B7BB8"/>
    <w:rsid w:val="009C126A"/>
    <w:rsid w:val="009C1924"/>
    <w:rsid w:val="009C1D4C"/>
    <w:rsid w:val="009C2227"/>
    <w:rsid w:val="009C2DD2"/>
    <w:rsid w:val="009C3031"/>
    <w:rsid w:val="009C3794"/>
    <w:rsid w:val="009C441F"/>
    <w:rsid w:val="009C4A07"/>
    <w:rsid w:val="009C4B8E"/>
    <w:rsid w:val="009C5072"/>
    <w:rsid w:val="009C51D5"/>
    <w:rsid w:val="009C543C"/>
    <w:rsid w:val="009C599A"/>
    <w:rsid w:val="009C650E"/>
    <w:rsid w:val="009C70DB"/>
    <w:rsid w:val="009D0D8A"/>
    <w:rsid w:val="009D0E75"/>
    <w:rsid w:val="009D19BC"/>
    <w:rsid w:val="009D2348"/>
    <w:rsid w:val="009D2F0C"/>
    <w:rsid w:val="009D3578"/>
    <w:rsid w:val="009D3A5F"/>
    <w:rsid w:val="009D5193"/>
    <w:rsid w:val="009D5C32"/>
    <w:rsid w:val="009D6472"/>
    <w:rsid w:val="009D79F4"/>
    <w:rsid w:val="009E001F"/>
    <w:rsid w:val="009E0F34"/>
    <w:rsid w:val="009E1F7A"/>
    <w:rsid w:val="009E31A3"/>
    <w:rsid w:val="009E3CD1"/>
    <w:rsid w:val="009E5988"/>
    <w:rsid w:val="009E5AF5"/>
    <w:rsid w:val="009E5EB5"/>
    <w:rsid w:val="009E623F"/>
    <w:rsid w:val="009E74F0"/>
    <w:rsid w:val="009F0768"/>
    <w:rsid w:val="009F12F3"/>
    <w:rsid w:val="009F2A71"/>
    <w:rsid w:val="009F7867"/>
    <w:rsid w:val="009F7D66"/>
    <w:rsid w:val="00A00BD2"/>
    <w:rsid w:val="00A00CA5"/>
    <w:rsid w:val="00A00E56"/>
    <w:rsid w:val="00A027F3"/>
    <w:rsid w:val="00A02E6D"/>
    <w:rsid w:val="00A02FAD"/>
    <w:rsid w:val="00A032A2"/>
    <w:rsid w:val="00A03978"/>
    <w:rsid w:val="00A04782"/>
    <w:rsid w:val="00A04F78"/>
    <w:rsid w:val="00A05DF3"/>
    <w:rsid w:val="00A05EBB"/>
    <w:rsid w:val="00A0670C"/>
    <w:rsid w:val="00A06C09"/>
    <w:rsid w:val="00A07E08"/>
    <w:rsid w:val="00A108F6"/>
    <w:rsid w:val="00A12798"/>
    <w:rsid w:val="00A150AB"/>
    <w:rsid w:val="00A153BE"/>
    <w:rsid w:val="00A153C1"/>
    <w:rsid w:val="00A15C2E"/>
    <w:rsid w:val="00A15DEE"/>
    <w:rsid w:val="00A167B5"/>
    <w:rsid w:val="00A168A6"/>
    <w:rsid w:val="00A16DBE"/>
    <w:rsid w:val="00A17C4F"/>
    <w:rsid w:val="00A20653"/>
    <w:rsid w:val="00A20A39"/>
    <w:rsid w:val="00A2219E"/>
    <w:rsid w:val="00A22B08"/>
    <w:rsid w:val="00A23069"/>
    <w:rsid w:val="00A238BD"/>
    <w:rsid w:val="00A243E4"/>
    <w:rsid w:val="00A2459D"/>
    <w:rsid w:val="00A24E23"/>
    <w:rsid w:val="00A25780"/>
    <w:rsid w:val="00A25F05"/>
    <w:rsid w:val="00A272F3"/>
    <w:rsid w:val="00A3048F"/>
    <w:rsid w:val="00A311AE"/>
    <w:rsid w:val="00A312A6"/>
    <w:rsid w:val="00A3130E"/>
    <w:rsid w:val="00A324CF"/>
    <w:rsid w:val="00A32E8B"/>
    <w:rsid w:val="00A32ED6"/>
    <w:rsid w:val="00A33F9C"/>
    <w:rsid w:val="00A344A5"/>
    <w:rsid w:val="00A346C3"/>
    <w:rsid w:val="00A34A89"/>
    <w:rsid w:val="00A35730"/>
    <w:rsid w:val="00A37134"/>
    <w:rsid w:val="00A37381"/>
    <w:rsid w:val="00A41E89"/>
    <w:rsid w:val="00A42A88"/>
    <w:rsid w:val="00A42D07"/>
    <w:rsid w:val="00A4393E"/>
    <w:rsid w:val="00A43D85"/>
    <w:rsid w:val="00A446E3"/>
    <w:rsid w:val="00A450C0"/>
    <w:rsid w:val="00A45468"/>
    <w:rsid w:val="00A455F8"/>
    <w:rsid w:val="00A459BA"/>
    <w:rsid w:val="00A4791B"/>
    <w:rsid w:val="00A503E3"/>
    <w:rsid w:val="00A50679"/>
    <w:rsid w:val="00A50A48"/>
    <w:rsid w:val="00A51242"/>
    <w:rsid w:val="00A5124F"/>
    <w:rsid w:val="00A51522"/>
    <w:rsid w:val="00A51573"/>
    <w:rsid w:val="00A51A5E"/>
    <w:rsid w:val="00A52895"/>
    <w:rsid w:val="00A53A05"/>
    <w:rsid w:val="00A53DA0"/>
    <w:rsid w:val="00A56C4B"/>
    <w:rsid w:val="00A5765D"/>
    <w:rsid w:val="00A6046A"/>
    <w:rsid w:val="00A607CB"/>
    <w:rsid w:val="00A60FF0"/>
    <w:rsid w:val="00A60FFE"/>
    <w:rsid w:val="00A6351F"/>
    <w:rsid w:val="00A63EF0"/>
    <w:rsid w:val="00A643E0"/>
    <w:rsid w:val="00A64AE7"/>
    <w:rsid w:val="00A65A70"/>
    <w:rsid w:val="00A66F36"/>
    <w:rsid w:val="00A676D9"/>
    <w:rsid w:val="00A67EFC"/>
    <w:rsid w:val="00A7031E"/>
    <w:rsid w:val="00A70759"/>
    <w:rsid w:val="00A71140"/>
    <w:rsid w:val="00A72B7B"/>
    <w:rsid w:val="00A73D75"/>
    <w:rsid w:val="00A740E3"/>
    <w:rsid w:val="00A74692"/>
    <w:rsid w:val="00A74A76"/>
    <w:rsid w:val="00A7618B"/>
    <w:rsid w:val="00A7640B"/>
    <w:rsid w:val="00A7778B"/>
    <w:rsid w:val="00A803BC"/>
    <w:rsid w:val="00A80969"/>
    <w:rsid w:val="00A80C68"/>
    <w:rsid w:val="00A834F6"/>
    <w:rsid w:val="00A84805"/>
    <w:rsid w:val="00A858C5"/>
    <w:rsid w:val="00A86EA7"/>
    <w:rsid w:val="00A90A2D"/>
    <w:rsid w:val="00A91244"/>
    <w:rsid w:val="00A91AA1"/>
    <w:rsid w:val="00A92776"/>
    <w:rsid w:val="00A93181"/>
    <w:rsid w:val="00A9342C"/>
    <w:rsid w:val="00A938E6"/>
    <w:rsid w:val="00A93CCF"/>
    <w:rsid w:val="00A95BD5"/>
    <w:rsid w:val="00A96F78"/>
    <w:rsid w:val="00AA0117"/>
    <w:rsid w:val="00AA1087"/>
    <w:rsid w:val="00AA25A9"/>
    <w:rsid w:val="00AA26D9"/>
    <w:rsid w:val="00AA27F5"/>
    <w:rsid w:val="00AA3DEA"/>
    <w:rsid w:val="00AA4AE2"/>
    <w:rsid w:val="00AA51AD"/>
    <w:rsid w:val="00AA591E"/>
    <w:rsid w:val="00AA65C9"/>
    <w:rsid w:val="00AB0A32"/>
    <w:rsid w:val="00AB0E56"/>
    <w:rsid w:val="00AB3A15"/>
    <w:rsid w:val="00AB3EE7"/>
    <w:rsid w:val="00AB4ECC"/>
    <w:rsid w:val="00AB6601"/>
    <w:rsid w:val="00AB674E"/>
    <w:rsid w:val="00AB6D63"/>
    <w:rsid w:val="00AB6D79"/>
    <w:rsid w:val="00AB6F48"/>
    <w:rsid w:val="00AB7806"/>
    <w:rsid w:val="00AC02C1"/>
    <w:rsid w:val="00AC0AB6"/>
    <w:rsid w:val="00AC0C71"/>
    <w:rsid w:val="00AC10AD"/>
    <w:rsid w:val="00AC14F1"/>
    <w:rsid w:val="00AC1E55"/>
    <w:rsid w:val="00AC429F"/>
    <w:rsid w:val="00AC5F27"/>
    <w:rsid w:val="00AC60B4"/>
    <w:rsid w:val="00AD00C5"/>
    <w:rsid w:val="00AD085F"/>
    <w:rsid w:val="00AD165F"/>
    <w:rsid w:val="00AD2794"/>
    <w:rsid w:val="00AD2DC5"/>
    <w:rsid w:val="00AD3455"/>
    <w:rsid w:val="00AD3CAD"/>
    <w:rsid w:val="00AD61F5"/>
    <w:rsid w:val="00AD69FF"/>
    <w:rsid w:val="00AD6F67"/>
    <w:rsid w:val="00AD702B"/>
    <w:rsid w:val="00AD72E6"/>
    <w:rsid w:val="00AD7311"/>
    <w:rsid w:val="00AD7C95"/>
    <w:rsid w:val="00AE0960"/>
    <w:rsid w:val="00AE0A7D"/>
    <w:rsid w:val="00AE1257"/>
    <w:rsid w:val="00AE1498"/>
    <w:rsid w:val="00AE2FF8"/>
    <w:rsid w:val="00AE3DE1"/>
    <w:rsid w:val="00AE44AC"/>
    <w:rsid w:val="00AE6E76"/>
    <w:rsid w:val="00AE7527"/>
    <w:rsid w:val="00AF03CF"/>
    <w:rsid w:val="00AF259C"/>
    <w:rsid w:val="00AF26B0"/>
    <w:rsid w:val="00AF2D54"/>
    <w:rsid w:val="00AF3458"/>
    <w:rsid w:val="00AF3F7B"/>
    <w:rsid w:val="00AF42B4"/>
    <w:rsid w:val="00AF4580"/>
    <w:rsid w:val="00AF4B8A"/>
    <w:rsid w:val="00AF4F1B"/>
    <w:rsid w:val="00AF53BE"/>
    <w:rsid w:val="00AF5D1E"/>
    <w:rsid w:val="00AF5EC6"/>
    <w:rsid w:val="00AF6E8A"/>
    <w:rsid w:val="00AF6FC5"/>
    <w:rsid w:val="00AF71D9"/>
    <w:rsid w:val="00AF7213"/>
    <w:rsid w:val="00AF75C0"/>
    <w:rsid w:val="00AF7D92"/>
    <w:rsid w:val="00B011CC"/>
    <w:rsid w:val="00B01A0B"/>
    <w:rsid w:val="00B03340"/>
    <w:rsid w:val="00B03E1A"/>
    <w:rsid w:val="00B04048"/>
    <w:rsid w:val="00B04DA6"/>
    <w:rsid w:val="00B04F3D"/>
    <w:rsid w:val="00B0519F"/>
    <w:rsid w:val="00B056DF"/>
    <w:rsid w:val="00B05702"/>
    <w:rsid w:val="00B05FA6"/>
    <w:rsid w:val="00B0606F"/>
    <w:rsid w:val="00B06835"/>
    <w:rsid w:val="00B06DD9"/>
    <w:rsid w:val="00B07B98"/>
    <w:rsid w:val="00B07CD6"/>
    <w:rsid w:val="00B07E52"/>
    <w:rsid w:val="00B07F7F"/>
    <w:rsid w:val="00B10010"/>
    <w:rsid w:val="00B11775"/>
    <w:rsid w:val="00B11AFC"/>
    <w:rsid w:val="00B11B81"/>
    <w:rsid w:val="00B123B5"/>
    <w:rsid w:val="00B12660"/>
    <w:rsid w:val="00B1298F"/>
    <w:rsid w:val="00B1302D"/>
    <w:rsid w:val="00B13B77"/>
    <w:rsid w:val="00B149A6"/>
    <w:rsid w:val="00B14DC2"/>
    <w:rsid w:val="00B1513F"/>
    <w:rsid w:val="00B15B31"/>
    <w:rsid w:val="00B15B89"/>
    <w:rsid w:val="00B1746F"/>
    <w:rsid w:val="00B17EA8"/>
    <w:rsid w:val="00B20725"/>
    <w:rsid w:val="00B20B94"/>
    <w:rsid w:val="00B22CD3"/>
    <w:rsid w:val="00B23414"/>
    <w:rsid w:val="00B2506B"/>
    <w:rsid w:val="00B25454"/>
    <w:rsid w:val="00B2628E"/>
    <w:rsid w:val="00B266B0"/>
    <w:rsid w:val="00B26E28"/>
    <w:rsid w:val="00B27044"/>
    <w:rsid w:val="00B27921"/>
    <w:rsid w:val="00B3000E"/>
    <w:rsid w:val="00B30B17"/>
    <w:rsid w:val="00B31498"/>
    <w:rsid w:val="00B31787"/>
    <w:rsid w:val="00B326A8"/>
    <w:rsid w:val="00B329EB"/>
    <w:rsid w:val="00B33330"/>
    <w:rsid w:val="00B33508"/>
    <w:rsid w:val="00B3377E"/>
    <w:rsid w:val="00B35BC9"/>
    <w:rsid w:val="00B35DA4"/>
    <w:rsid w:val="00B36B65"/>
    <w:rsid w:val="00B40A96"/>
    <w:rsid w:val="00B4184B"/>
    <w:rsid w:val="00B421B4"/>
    <w:rsid w:val="00B422A7"/>
    <w:rsid w:val="00B42A32"/>
    <w:rsid w:val="00B42FA6"/>
    <w:rsid w:val="00B43997"/>
    <w:rsid w:val="00B4399E"/>
    <w:rsid w:val="00B43A16"/>
    <w:rsid w:val="00B452BB"/>
    <w:rsid w:val="00B45C10"/>
    <w:rsid w:val="00B45CE1"/>
    <w:rsid w:val="00B46A75"/>
    <w:rsid w:val="00B46FB7"/>
    <w:rsid w:val="00B500CD"/>
    <w:rsid w:val="00B5239C"/>
    <w:rsid w:val="00B52FD2"/>
    <w:rsid w:val="00B53893"/>
    <w:rsid w:val="00B53E5A"/>
    <w:rsid w:val="00B548C2"/>
    <w:rsid w:val="00B55428"/>
    <w:rsid w:val="00B5547E"/>
    <w:rsid w:val="00B55E5C"/>
    <w:rsid w:val="00B570BF"/>
    <w:rsid w:val="00B57144"/>
    <w:rsid w:val="00B5729A"/>
    <w:rsid w:val="00B60796"/>
    <w:rsid w:val="00B61188"/>
    <w:rsid w:val="00B63337"/>
    <w:rsid w:val="00B6339E"/>
    <w:rsid w:val="00B6369F"/>
    <w:rsid w:val="00B639D7"/>
    <w:rsid w:val="00B644CF"/>
    <w:rsid w:val="00B64AA7"/>
    <w:rsid w:val="00B66594"/>
    <w:rsid w:val="00B67805"/>
    <w:rsid w:val="00B67C82"/>
    <w:rsid w:val="00B70A76"/>
    <w:rsid w:val="00B7113A"/>
    <w:rsid w:val="00B721CD"/>
    <w:rsid w:val="00B7267A"/>
    <w:rsid w:val="00B726FF"/>
    <w:rsid w:val="00B7291A"/>
    <w:rsid w:val="00B72AA4"/>
    <w:rsid w:val="00B75454"/>
    <w:rsid w:val="00B76BCD"/>
    <w:rsid w:val="00B76EE9"/>
    <w:rsid w:val="00B77880"/>
    <w:rsid w:val="00B77B41"/>
    <w:rsid w:val="00B77FD9"/>
    <w:rsid w:val="00B80D90"/>
    <w:rsid w:val="00B82537"/>
    <w:rsid w:val="00B82613"/>
    <w:rsid w:val="00B828B5"/>
    <w:rsid w:val="00B83B0D"/>
    <w:rsid w:val="00B84E51"/>
    <w:rsid w:val="00B84E9C"/>
    <w:rsid w:val="00B85522"/>
    <w:rsid w:val="00B869DF"/>
    <w:rsid w:val="00B90E2A"/>
    <w:rsid w:val="00B90F2A"/>
    <w:rsid w:val="00B9198D"/>
    <w:rsid w:val="00B93008"/>
    <w:rsid w:val="00B9406D"/>
    <w:rsid w:val="00B944C0"/>
    <w:rsid w:val="00B94BA7"/>
    <w:rsid w:val="00B94BE9"/>
    <w:rsid w:val="00B94C49"/>
    <w:rsid w:val="00B94E0E"/>
    <w:rsid w:val="00B958AF"/>
    <w:rsid w:val="00B96201"/>
    <w:rsid w:val="00B97430"/>
    <w:rsid w:val="00B976AD"/>
    <w:rsid w:val="00B97CA3"/>
    <w:rsid w:val="00BA050D"/>
    <w:rsid w:val="00BA143E"/>
    <w:rsid w:val="00BA2E84"/>
    <w:rsid w:val="00BA3479"/>
    <w:rsid w:val="00BA3D7B"/>
    <w:rsid w:val="00BA5BDA"/>
    <w:rsid w:val="00BA76A9"/>
    <w:rsid w:val="00BA79A3"/>
    <w:rsid w:val="00BB221D"/>
    <w:rsid w:val="00BB22A6"/>
    <w:rsid w:val="00BB28F1"/>
    <w:rsid w:val="00BB2EED"/>
    <w:rsid w:val="00BB3E2B"/>
    <w:rsid w:val="00BB5043"/>
    <w:rsid w:val="00BB5D1C"/>
    <w:rsid w:val="00BB6552"/>
    <w:rsid w:val="00BB6B9B"/>
    <w:rsid w:val="00BB754F"/>
    <w:rsid w:val="00BC07D4"/>
    <w:rsid w:val="00BC0A5D"/>
    <w:rsid w:val="00BC0BE3"/>
    <w:rsid w:val="00BC106B"/>
    <w:rsid w:val="00BC1522"/>
    <w:rsid w:val="00BC1AD9"/>
    <w:rsid w:val="00BC2200"/>
    <w:rsid w:val="00BC32E7"/>
    <w:rsid w:val="00BC478E"/>
    <w:rsid w:val="00BC4958"/>
    <w:rsid w:val="00BC58B9"/>
    <w:rsid w:val="00BC6A49"/>
    <w:rsid w:val="00BC746D"/>
    <w:rsid w:val="00BD0535"/>
    <w:rsid w:val="00BD0E81"/>
    <w:rsid w:val="00BD37B9"/>
    <w:rsid w:val="00BD3E68"/>
    <w:rsid w:val="00BD40B6"/>
    <w:rsid w:val="00BD598A"/>
    <w:rsid w:val="00BD692E"/>
    <w:rsid w:val="00BD75B4"/>
    <w:rsid w:val="00BD7BFE"/>
    <w:rsid w:val="00BD7D14"/>
    <w:rsid w:val="00BE02B4"/>
    <w:rsid w:val="00BE0A4E"/>
    <w:rsid w:val="00BE1553"/>
    <w:rsid w:val="00BE2797"/>
    <w:rsid w:val="00BE3BE1"/>
    <w:rsid w:val="00BE4EC9"/>
    <w:rsid w:val="00BE631E"/>
    <w:rsid w:val="00BE7425"/>
    <w:rsid w:val="00BE7D8B"/>
    <w:rsid w:val="00BF0BD4"/>
    <w:rsid w:val="00BF0CCF"/>
    <w:rsid w:val="00BF0FC5"/>
    <w:rsid w:val="00BF10BC"/>
    <w:rsid w:val="00BF21AC"/>
    <w:rsid w:val="00BF2E53"/>
    <w:rsid w:val="00BF3133"/>
    <w:rsid w:val="00BF3669"/>
    <w:rsid w:val="00BF3C0D"/>
    <w:rsid w:val="00BF711C"/>
    <w:rsid w:val="00BF74BE"/>
    <w:rsid w:val="00BF7C74"/>
    <w:rsid w:val="00C0099E"/>
    <w:rsid w:val="00C00ED8"/>
    <w:rsid w:val="00C0208F"/>
    <w:rsid w:val="00C02367"/>
    <w:rsid w:val="00C02AE2"/>
    <w:rsid w:val="00C02E65"/>
    <w:rsid w:val="00C03309"/>
    <w:rsid w:val="00C03EBF"/>
    <w:rsid w:val="00C067D5"/>
    <w:rsid w:val="00C072FE"/>
    <w:rsid w:val="00C12E39"/>
    <w:rsid w:val="00C1339A"/>
    <w:rsid w:val="00C13ECA"/>
    <w:rsid w:val="00C14164"/>
    <w:rsid w:val="00C15D8E"/>
    <w:rsid w:val="00C17012"/>
    <w:rsid w:val="00C178FB"/>
    <w:rsid w:val="00C214B4"/>
    <w:rsid w:val="00C22B28"/>
    <w:rsid w:val="00C22B5A"/>
    <w:rsid w:val="00C24077"/>
    <w:rsid w:val="00C257B7"/>
    <w:rsid w:val="00C272E8"/>
    <w:rsid w:val="00C30B12"/>
    <w:rsid w:val="00C311EC"/>
    <w:rsid w:val="00C320C0"/>
    <w:rsid w:val="00C33359"/>
    <w:rsid w:val="00C3368E"/>
    <w:rsid w:val="00C348D6"/>
    <w:rsid w:val="00C35389"/>
    <w:rsid w:val="00C35D43"/>
    <w:rsid w:val="00C365E7"/>
    <w:rsid w:val="00C36E34"/>
    <w:rsid w:val="00C37D8B"/>
    <w:rsid w:val="00C404EE"/>
    <w:rsid w:val="00C40D2D"/>
    <w:rsid w:val="00C40FC3"/>
    <w:rsid w:val="00C4171B"/>
    <w:rsid w:val="00C42689"/>
    <w:rsid w:val="00C42988"/>
    <w:rsid w:val="00C42BD4"/>
    <w:rsid w:val="00C43547"/>
    <w:rsid w:val="00C43807"/>
    <w:rsid w:val="00C43FF0"/>
    <w:rsid w:val="00C44641"/>
    <w:rsid w:val="00C45EF5"/>
    <w:rsid w:val="00C46B7E"/>
    <w:rsid w:val="00C50A4E"/>
    <w:rsid w:val="00C50CE4"/>
    <w:rsid w:val="00C51A73"/>
    <w:rsid w:val="00C520B1"/>
    <w:rsid w:val="00C522D6"/>
    <w:rsid w:val="00C53BBB"/>
    <w:rsid w:val="00C54020"/>
    <w:rsid w:val="00C5406F"/>
    <w:rsid w:val="00C545C5"/>
    <w:rsid w:val="00C55566"/>
    <w:rsid w:val="00C576A1"/>
    <w:rsid w:val="00C60237"/>
    <w:rsid w:val="00C6038F"/>
    <w:rsid w:val="00C61D4B"/>
    <w:rsid w:val="00C62B0A"/>
    <w:rsid w:val="00C63F08"/>
    <w:rsid w:val="00C640FE"/>
    <w:rsid w:val="00C6528C"/>
    <w:rsid w:val="00C655E5"/>
    <w:rsid w:val="00C661E8"/>
    <w:rsid w:val="00C6648F"/>
    <w:rsid w:val="00C70084"/>
    <w:rsid w:val="00C70C3C"/>
    <w:rsid w:val="00C7235B"/>
    <w:rsid w:val="00C72E18"/>
    <w:rsid w:val="00C731AD"/>
    <w:rsid w:val="00C73553"/>
    <w:rsid w:val="00C7380B"/>
    <w:rsid w:val="00C74421"/>
    <w:rsid w:val="00C7542D"/>
    <w:rsid w:val="00C75520"/>
    <w:rsid w:val="00C75F2F"/>
    <w:rsid w:val="00C75FEE"/>
    <w:rsid w:val="00C760EA"/>
    <w:rsid w:val="00C76F1D"/>
    <w:rsid w:val="00C77202"/>
    <w:rsid w:val="00C77D26"/>
    <w:rsid w:val="00C80BDF"/>
    <w:rsid w:val="00C84D39"/>
    <w:rsid w:val="00C85277"/>
    <w:rsid w:val="00C8562B"/>
    <w:rsid w:val="00C85B9D"/>
    <w:rsid w:val="00C85D76"/>
    <w:rsid w:val="00C869A3"/>
    <w:rsid w:val="00C873AC"/>
    <w:rsid w:val="00C906C6"/>
    <w:rsid w:val="00C90B0D"/>
    <w:rsid w:val="00C93462"/>
    <w:rsid w:val="00C94235"/>
    <w:rsid w:val="00C94384"/>
    <w:rsid w:val="00C94A34"/>
    <w:rsid w:val="00C94C2B"/>
    <w:rsid w:val="00C96860"/>
    <w:rsid w:val="00C96F79"/>
    <w:rsid w:val="00C97146"/>
    <w:rsid w:val="00C97CF9"/>
    <w:rsid w:val="00CA0642"/>
    <w:rsid w:val="00CA17DD"/>
    <w:rsid w:val="00CA1863"/>
    <w:rsid w:val="00CA192A"/>
    <w:rsid w:val="00CA2655"/>
    <w:rsid w:val="00CA26CE"/>
    <w:rsid w:val="00CA391D"/>
    <w:rsid w:val="00CA3ACD"/>
    <w:rsid w:val="00CA4507"/>
    <w:rsid w:val="00CA4F8B"/>
    <w:rsid w:val="00CA519F"/>
    <w:rsid w:val="00CA71A5"/>
    <w:rsid w:val="00CB0716"/>
    <w:rsid w:val="00CB09DA"/>
    <w:rsid w:val="00CB0BD9"/>
    <w:rsid w:val="00CB1CAC"/>
    <w:rsid w:val="00CB1D87"/>
    <w:rsid w:val="00CB1DE8"/>
    <w:rsid w:val="00CB1E3B"/>
    <w:rsid w:val="00CB1F1D"/>
    <w:rsid w:val="00CB3B61"/>
    <w:rsid w:val="00CB4212"/>
    <w:rsid w:val="00CB600D"/>
    <w:rsid w:val="00CB6199"/>
    <w:rsid w:val="00CB646D"/>
    <w:rsid w:val="00CB6F29"/>
    <w:rsid w:val="00CB71F8"/>
    <w:rsid w:val="00CC10AE"/>
    <w:rsid w:val="00CC26DB"/>
    <w:rsid w:val="00CC300C"/>
    <w:rsid w:val="00CC35AE"/>
    <w:rsid w:val="00CC36D2"/>
    <w:rsid w:val="00CC3DAA"/>
    <w:rsid w:val="00CC43B0"/>
    <w:rsid w:val="00CC49C7"/>
    <w:rsid w:val="00CC4C2C"/>
    <w:rsid w:val="00CC5057"/>
    <w:rsid w:val="00CC5496"/>
    <w:rsid w:val="00CC5603"/>
    <w:rsid w:val="00CC587F"/>
    <w:rsid w:val="00CC6279"/>
    <w:rsid w:val="00CC75DE"/>
    <w:rsid w:val="00CD078F"/>
    <w:rsid w:val="00CD121E"/>
    <w:rsid w:val="00CD1922"/>
    <w:rsid w:val="00CD28F0"/>
    <w:rsid w:val="00CD3ED8"/>
    <w:rsid w:val="00CD736C"/>
    <w:rsid w:val="00CD761D"/>
    <w:rsid w:val="00CD76B5"/>
    <w:rsid w:val="00CE09B1"/>
    <w:rsid w:val="00CE2346"/>
    <w:rsid w:val="00CE2B02"/>
    <w:rsid w:val="00CE4F2D"/>
    <w:rsid w:val="00CE592E"/>
    <w:rsid w:val="00CE6A8A"/>
    <w:rsid w:val="00CE6F0F"/>
    <w:rsid w:val="00CE6F23"/>
    <w:rsid w:val="00CE7C7C"/>
    <w:rsid w:val="00CF002F"/>
    <w:rsid w:val="00CF0246"/>
    <w:rsid w:val="00CF0C02"/>
    <w:rsid w:val="00CF1899"/>
    <w:rsid w:val="00CF2157"/>
    <w:rsid w:val="00CF2483"/>
    <w:rsid w:val="00CF24E2"/>
    <w:rsid w:val="00CF393D"/>
    <w:rsid w:val="00CF4ABD"/>
    <w:rsid w:val="00CF4BC8"/>
    <w:rsid w:val="00CF5A53"/>
    <w:rsid w:val="00CF5D28"/>
    <w:rsid w:val="00CF68CF"/>
    <w:rsid w:val="00CF6942"/>
    <w:rsid w:val="00CF69A1"/>
    <w:rsid w:val="00CF6F1E"/>
    <w:rsid w:val="00D001F9"/>
    <w:rsid w:val="00D0036E"/>
    <w:rsid w:val="00D00BB7"/>
    <w:rsid w:val="00D01EAD"/>
    <w:rsid w:val="00D035B9"/>
    <w:rsid w:val="00D060FF"/>
    <w:rsid w:val="00D064E8"/>
    <w:rsid w:val="00D06572"/>
    <w:rsid w:val="00D065CD"/>
    <w:rsid w:val="00D06A32"/>
    <w:rsid w:val="00D07D93"/>
    <w:rsid w:val="00D112E1"/>
    <w:rsid w:val="00D1144C"/>
    <w:rsid w:val="00D11766"/>
    <w:rsid w:val="00D12325"/>
    <w:rsid w:val="00D14487"/>
    <w:rsid w:val="00D15E7E"/>
    <w:rsid w:val="00D162EF"/>
    <w:rsid w:val="00D17F03"/>
    <w:rsid w:val="00D20016"/>
    <w:rsid w:val="00D207A7"/>
    <w:rsid w:val="00D20CD6"/>
    <w:rsid w:val="00D20E00"/>
    <w:rsid w:val="00D21A81"/>
    <w:rsid w:val="00D21DBE"/>
    <w:rsid w:val="00D2279F"/>
    <w:rsid w:val="00D22AF1"/>
    <w:rsid w:val="00D22E93"/>
    <w:rsid w:val="00D242DA"/>
    <w:rsid w:val="00D25E95"/>
    <w:rsid w:val="00D26448"/>
    <w:rsid w:val="00D264CE"/>
    <w:rsid w:val="00D26670"/>
    <w:rsid w:val="00D27137"/>
    <w:rsid w:val="00D275CA"/>
    <w:rsid w:val="00D27B8B"/>
    <w:rsid w:val="00D31B6E"/>
    <w:rsid w:val="00D3232B"/>
    <w:rsid w:val="00D3239F"/>
    <w:rsid w:val="00D324A4"/>
    <w:rsid w:val="00D3250C"/>
    <w:rsid w:val="00D328F6"/>
    <w:rsid w:val="00D3462C"/>
    <w:rsid w:val="00D35059"/>
    <w:rsid w:val="00D35198"/>
    <w:rsid w:val="00D3584B"/>
    <w:rsid w:val="00D376B1"/>
    <w:rsid w:val="00D376F7"/>
    <w:rsid w:val="00D41004"/>
    <w:rsid w:val="00D41541"/>
    <w:rsid w:val="00D42240"/>
    <w:rsid w:val="00D427C3"/>
    <w:rsid w:val="00D42EB8"/>
    <w:rsid w:val="00D44922"/>
    <w:rsid w:val="00D44932"/>
    <w:rsid w:val="00D46111"/>
    <w:rsid w:val="00D47953"/>
    <w:rsid w:val="00D47C16"/>
    <w:rsid w:val="00D502AF"/>
    <w:rsid w:val="00D503C5"/>
    <w:rsid w:val="00D50709"/>
    <w:rsid w:val="00D50764"/>
    <w:rsid w:val="00D50C12"/>
    <w:rsid w:val="00D518FF"/>
    <w:rsid w:val="00D51A77"/>
    <w:rsid w:val="00D52751"/>
    <w:rsid w:val="00D53010"/>
    <w:rsid w:val="00D5354F"/>
    <w:rsid w:val="00D53649"/>
    <w:rsid w:val="00D53830"/>
    <w:rsid w:val="00D54695"/>
    <w:rsid w:val="00D54FB3"/>
    <w:rsid w:val="00D55889"/>
    <w:rsid w:val="00D56B5F"/>
    <w:rsid w:val="00D57A3F"/>
    <w:rsid w:val="00D57AF0"/>
    <w:rsid w:val="00D57DCF"/>
    <w:rsid w:val="00D61FC2"/>
    <w:rsid w:val="00D62ECD"/>
    <w:rsid w:val="00D630F6"/>
    <w:rsid w:val="00D64426"/>
    <w:rsid w:val="00D645A3"/>
    <w:rsid w:val="00D65D78"/>
    <w:rsid w:val="00D664F0"/>
    <w:rsid w:val="00D67BC5"/>
    <w:rsid w:val="00D7021B"/>
    <w:rsid w:val="00D7073E"/>
    <w:rsid w:val="00D70D33"/>
    <w:rsid w:val="00D71749"/>
    <w:rsid w:val="00D720EE"/>
    <w:rsid w:val="00D73077"/>
    <w:rsid w:val="00D736A2"/>
    <w:rsid w:val="00D73C57"/>
    <w:rsid w:val="00D742FF"/>
    <w:rsid w:val="00D754C4"/>
    <w:rsid w:val="00D758B3"/>
    <w:rsid w:val="00D76ADC"/>
    <w:rsid w:val="00D77413"/>
    <w:rsid w:val="00D80831"/>
    <w:rsid w:val="00D80F4C"/>
    <w:rsid w:val="00D81F10"/>
    <w:rsid w:val="00D8201E"/>
    <w:rsid w:val="00D82E0A"/>
    <w:rsid w:val="00D83AFD"/>
    <w:rsid w:val="00D84298"/>
    <w:rsid w:val="00D84A57"/>
    <w:rsid w:val="00D84C3B"/>
    <w:rsid w:val="00D854AC"/>
    <w:rsid w:val="00D874DF"/>
    <w:rsid w:val="00D8764A"/>
    <w:rsid w:val="00D87A12"/>
    <w:rsid w:val="00D90C06"/>
    <w:rsid w:val="00D90E4C"/>
    <w:rsid w:val="00D918F4"/>
    <w:rsid w:val="00D930E1"/>
    <w:rsid w:val="00D9415C"/>
    <w:rsid w:val="00D942CC"/>
    <w:rsid w:val="00D94ADE"/>
    <w:rsid w:val="00D94D87"/>
    <w:rsid w:val="00D962DC"/>
    <w:rsid w:val="00D96E0A"/>
    <w:rsid w:val="00D9764F"/>
    <w:rsid w:val="00D97BB5"/>
    <w:rsid w:val="00DA180C"/>
    <w:rsid w:val="00DA1EF7"/>
    <w:rsid w:val="00DA2210"/>
    <w:rsid w:val="00DA317A"/>
    <w:rsid w:val="00DA3E7B"/>
    <w:rsid w:val="00DA451D"/>
    <w:rsid w:val="00DA56DB"/>
    <w:rsid w:val="00DA6452"/>
    <w:rsid w:val="00DA6C81"/>
    <w:rsid w:val="00DA6FE9"/>
    <w:rsid w:val="00DA7588"/>
    <w:rsid w:val="00DA7925"/>
    <w:rsid w:val="00DA7FF0"/>
    <w:rsid w:val="00DB0AB8"/>
    <w:rsid w:val="00DB0D2A"/>
    <w:rsid w:val="00DB11CD"/>
    <w:rsid w:val="00DB1DAB"/>
    <w:rsid w:val="00DB39D4"/>
    <w:rsid w:val="00DB3A47"/>
    <w:rsid w:val="00DB4E06"/>
    <w:rsid w:val="00DB5636"/>
    <w:rsid w:val="00DB6A80"/>
    <w:rsid w:val="00DB6C06"/>
    <w:rsid w:val="00DB7B06"/>
    <w:rsid w:val="00DC108F"/>
    <w:rsid w:val="00DC22D6"/>
    <w:rsid w:val="00DC23A1"/>
    <w:rsid w:val="00DC2917"/>
    <w:rsid w:val="00DC2CCF"/>
    <w:rsid w:val="00DC3A9D"/>
    <w:rsid w:val="00DC3FF5"/>
    <w:rsid w:val="00DC48E1"/>
    <w:rsid w:val="00DC6C1E"/>
    <w:rsid w:val="00DC708C"/>
    <w:rsid w:val="00DC7951"/>
    <w:rsid w:val="00DD0F95"/>
    <w:rsid w:val="00DD1C4B"/>
    <w:rsid w:val="00DD1F7B"/>
    <w:rsid w:val="00DD229E"/>
    <w:rsid w:val="00DD3029"/>
    <w:rsid w:val="00DD44C7"/>
    <w:rsid w:val="00DD55E0"/>
    <w:rsid w:val="00DD5B95"/>
    <w:rsid w:val="00DD5E12"/>
    <w:rsid w:val="00DD6A61"/>
    <w:rsid w:val="00DE0C66"/>
    <w:rsid w:val="00DE1904"/>
    <w:rsid w:val="00DE2589"/>
    <w:rsid w:val="00DE3202"/>
    <w:rsid w:val="00DE3DBB"/>
    <w:rsid w:val="00DE43A2"/>
    <w:rsid w:val="00DE4A74"/>
    <w:rsid w:val="00DE4B05"/>
    <w:rsid w:val="00DE541C"/>
    <w:rsid w:val="00DE5F40"/>
    <w:rsid w:val="00DE737B"/>
    <w:rsid w:val="00DF013B"/>
    <w:rsid w:val="00DF0587"/>
    <w:rsid w:val="00DF100B"/>
    <w:rsid w:val="00DF23CA"/>
    <w:rsid w:val="00DF2929"/>
    <w:rsid w:val="00DF2ED3"/>
    <w:rsid w:val="00DF3B76"/>
    <w:rsid w:val="00DF3E41"/>
    <w:rsid w:val="00DF4359"/>
    <w:rsid w:val="00DF4D53"/>
    <w:rsid w:val="00DF4FA9"/>
    <w:rsid w:val="00DF573B"/>
    <w:rsid w:val="00DF6773"/>
    <w:rsid w:val="00DF6E3F"/>
    <w:rsid w:val="00DF7742"/>
    <w:rsid w:val="00DF7751"/>
    <w:rsid w:val="00E00974"/>
    <w:rsid w:val="00E031BB"/>
    <w:rsid w:val="00E0424A"/>
    <w:rsid w:val="00E0520E"/>
    <w:rsid w:val="00E0576C"/>
    <w:rsid w:val="00E0626B"/>
    <w:rsid w:val="00E068BC"/>
    <w:rsid w:val="00E073F0"/>
    <w:rsid w:val="00E07DBA"/>
    <w:rsid w:val="00E10761"/>
    <w:rsid w:val="00E108E4"/>
    <w:rsid w:val="00E11D7A"/>
    <w:rsid w:val="00E11EEB"/>
    <w:rsid w:val="00E128F2"/>
    <w:rsid w:val="00E13883"/>
    <w:rsid w:val="00E13EE4"/>
    <w:rsid w:val="00E13F64"/>
    <w:rsid w:val="00E14A98"/>
    <w:rsid w:val="00E16463"/>
    <w:rsid w:val="00E20921"/>
    <w:rsid w:val="00E20AD3"/>
    <w:rsid w:val="00E20CCC"/>
    <w:rsid w:val="00E20D46"/>
    <w:rsid w:val="00E22DD9"/>
    <w:rsid w:val="00E239D1"/>
    <w:rsid w:val="00E26727"/>
    <w:rsid w:val="00E26970"/>
    <w:rsid w:val="00E27791"/>
    <w:rsid w:val="00E30F2D"/>
    <w:rsid w:val="00E3120D"/>
    <w:rsid w:val="00E313D4"/>
    <w:rsid w:val="00E3197F"/>
    <w:rsid w:val="00E319DB"/>
    <w:rsid w:val="00E31AFC"/>
    <w:rsid w:val="00E33B0B"/>
    <w:rsid w:val="00E3409E"/>
    <w:rsid w:val="00E34F76"/>
    <w:rsid w:val="00E36415"/>
    <w:rsid w:val="00E3700A"/>
    <w:rsid w:val="00E372D9"/>
    <w:rsid w:val="00E37BE5"/>
    <w:rsid w:val="00E41A27"/>
    <w:rsid w:val="00E4285A"/>
    <w:rsid w:val="00E430C7"/>
    <w:rsid w:val="00E45832"/>
    <w:rsid w:val="00E4608B"/>
    <w:rsid w:val="00E469B2"/>
    <w:rsid w:val="00E47767"/>
    <w:rsid w:val="00E501D3"/>
    <w:rsid w:val="00E53A01"/>
    <w:rsid w:val="00E53A64"/>
    <w:rsid w:val="00E54961"/>
    <w:rsid w:val="00E564C4"/>
    <w:rsid w:val="00E567C9"/>
    <w:rsid w:val="00E56D51"/>
    <w:rsid w:val="00E57446"/>
    <w:rsid w:val="00E604C4"/>
    <w:rsid w:val="00E60809"/>
    <w:rsid w:val="00E60991"/>
    <w:rsid w:val="00E61300"/>
    <w:rsid w:val="00E614F2"/>
    <w:rsid w:val="00E635B9"/>
    <w:rsid w:val="00E641F4"/>
    <w:rsid w:val="00E65041"/>
    <w:rsid w:val="00E65D15"/>
    <w:rsid w:val="00E66C49"/>
    <w:rsid w:val="00E67EE5"/>
    <w:rsid w:val="00E7013A"/>
    <w:rsid w:val="00E74F5D"/>
    <w:rsid w:val="00E76034"/>
    <w:rsid w:val="00E765C3"/>
    <w:rsid w:val="00E769A9"/>
    <w:rsid w:val="00E7751B"/>
    <w:rsid w:val="00E80371"/>
    <w:rsid w:val="00E80440"/>
    <w:rsid w:val="00E80515"/>
    <w:rsid w:val="00E81752"/>
    <w:rsid w:val="00E817E0"/>
    <w:rsid w:val="00E819FB"/>
    <w:rsid w:val="00E82A42"/>
    <w:rsid w:val="00E82B3D"/>
    <w:rsid w:val="00E82EE4"/>
    <w:rsid w:val="00E82F13"/>
    <w:rsid w:val="00E831E7"/>
    <w:rsid w:val="00E834D6"/>
    <w:rsid w:val="00E843B5"/>
    <w:rsid w:val="00E84916"/>
    <w:rsid w:val="00E84A3B"/>
    <w:rsid w:val="00E85307"/>
    <w:rsid w:val="00E86508"/>
    <w:rsid w:val="00E87E13"/>
    <w:rsid w:val="00E907E4"/>
    <w:rsid w:val="00E90A24"/>
    <w:rsid w:val="00E90C34"/>
    <w:rsid w:val="00E90F01"/>
    <w:rsid w:val="00E919AC"/>
    <w:rsid w:val="00E91AC8"/>
    <w:rsid w:val="00E946A6"/>
    <w:rsid w:val="00E947E4"/>
    <w:rsid w:val="00E94C9F"/>
    <w:rsid w:val="00E95564"/>
    <w:rsid w:val="00E95AAD"/>
    <w:rsid w:val="00E96A29"/>
    <w:rsid w:val="00E96B28"/>
    <w:rsid w:val="00E96FE6"/>
    <w:rsid w:val="00E97477"/>
    <w:rsid w:val="00E97652"/>
    <w:rsid w:val="00E9765F"/>
    <w:rsid w:val="00E97975"/>
    <w:rsid w:val="00EA0A5C"/>
    <w:rsid w:val="00EA0AD2"/>
    <w:rsid w:val="00EA0CF0"/>
    <w:rsid w:val="00EA1D43"/>
    <w:rsid w:val="00EA20B0"/>
    <w:rsid w:val="00EA4A9D"/>
    <w:rsid w:val="00EA4EC9"/>
    <w:rsid w:val="00EA5CDF"/>
    <w:rsid w:val="00EA5E0F"/>
    <w:rsid w:val="00EA67DA"/>
    <w:rsid w:val="00EA6FE4"/>
    <w:rsid w:val="00EA7723"/>
    <w:rsid w:val="00EA7F4C"/>
    <w:rsid w:val="00EB1D47"/>
    <w:rsid w:val="00EB2146"/>
    <w:rsid w:val="00EB2317"/>
    <w:rsid w:val="00EB279B"/>
    <w:rsid w:val="00EB2ABB"/>
    <w:rsid w:val="00EB3631"/>
    <w:rsid w:val="00EB3987"/>
    <w:rsid w:val="00EB55CA"/>
    <w:rsid w:val="00EB584C"/>
    <w:rsid w:val="00EB5D88"/>
    <w:rsid w:val="00EB7307"/>
    <w:rsid w:val="00EC14B0"/>
    <w:rsid w:val="00EC204E"/>
    <w:rsid w:val="00EC249E"/>
    <w:rsid w:val="00EC2CFF"/>
    <w:rsid w:val="00EC440C"/>
    <w:rsid w:val="00EC4D33"/>
    <w:rsid w:val="00EC5F2F"/>
    <w:rsid w:val="00EC61E4"/>
    <w:rsid w:val="00EC651E"/>
    <w:rsid w:val="00EC692E"/>
    <w:rsid w:val="00EC745E"/>
    <w:rsid w:val="00EC7EAF"/>
    <w:rsid w:val="00ED1759"/>
    <w:rsid w:val="00ED270C"/>
    <w:rsid w:val="00ED27C3"/>
    <w:rsid w:val="00ED33AE"/>
    <w:rsid w:val="00ED3775"/>
    <w:rsid w:val="00ED427D"/>
    <w:rsid w:val="00ED4A6D"/>
    <w:rsid w:val="00ED61E6"/>
    <w:rsid w:val="00ED6D4A"/>
    <w:rsid w:val="00ED6E42"/>
    <w:rsid w:val="00ED738C"/>
    <w:rsid w:val="00ED7918"/>
    <w:rsid w:val="00ED7FD3"/>
    <w:rsid w:val="00EE078B"/>
    <w:rsid w:val="00EE1FD1"/>
    <w:rsid w:val="00EE3663"/>
    <w:rsid w:val="00EE41C4"/>
    <w:rsid w:val="00EE4A40"/>
    <w:rsid w:val="00EE76A9"/>
    <w:rsid w:val="00EE799E"/>
    <w:rsid w:val="00EE7C7E"/>
    <w:rsid w:val="00EE7CA8"/>
    <w:rsid w:val="00EE7FA7"/>
    <w:rsid w:val="00EF1093"/>
    <w:rsid w:val="00EF1FCB"/>
    <w:rsid w:val="00EF21C3"/>
    <w:rsid w:val="00EF2E6B"/>
    <w:rsid w:val="00EF58AE"/>
    <w:rsid w:val="00EF5E0D"/>
    <w:rsid w:val="00EF6091"/>
    <w:rsid w:val="00EF614C"/>
    <w:rsid w:val="00EF633C"/>
    <w:rsid w:val="00EF7D08"/>
    <w:rsid w:val="00F0030E"/>
    <w:rsid w:val="00F00405"/>
    <w:rsid w:val="00F00CD1"/>
    <w:rsid w:val="00F01E6B"/>
    <w:rsid w:val="00F0241C"/>
    <w:rsid w:val="00F029B8"/>
    <w:rsid w:val="00F04091"/>
    <w:rsid w:val="00F05759"/>
    <w:rsid w:val="00F10CB9"/>
    <w:rsid w:val="00F110D5"/>
    <w:rsid w:val="00F12351"/>
    <w:rsid w:val="00F16739"/>
    <w:rsid w:val="00F16DE2"/>
    <w:rsid w:val="00F17C5F"/>
    <w:rsid w:val="00F200EF"/>
    <w:rsid w:val="00F2052B"/>
    <w:rsid w:val="00F210C7"/>
    <w:rsid w:val="00F213FF"/>
    <w:rsid w:val="00F221B1"/>
    <w:rsid w:val="00F2260F"/>
    <w:rsid w:val="00F242AD"/>
    <w:rsid w:val="00F247F2"/>
    <w:rsid w:val="00F252A8"/>
    <w:rsid w:val="00F2608D"/>
    <w:rsid w:val="00F2619B"/>
    <w:rsid w:val="00F265F7"/>
    <w:rsid w:val="00F27A9C"/>
    <w:rsid w:val="00F27C15"/>
    <w:rsid w:val="00F27FA6"/>
    <w:rsid w:val="00F30B70"/>
    <w:rsid w:val="00F30C74"/>
    <w:rsid w:val="00F321E4"/>
    <w:rsid w:val="00F33DC8"/>
    <w:rsid w:val="00F3429E"/>
    <w:rsid w:val="00F34350"/>
    <w:rsid w:val="00F34444"/>
    <w:rsid w:val="00F34F36"/>
    <w:rsid w:val="00F3609E"/>
    <w:rsid w:val="00F360A6"/>
    <w:rsid w:val="00F36F33"/>
    <w:rsid w:val="00F4065A"/>
    <w:rsid w:val="00F40D83"/>
    <w:rsid w:val="00F40F19"/>
    <w:rsid w:val="00F4275C"/>
    <w:rsid w:val="00F447D4"/>
    <w:rsid w:val="00F450A9"/>
    <w:rsid w:val="00F4516E"/>
    <w:rsid w:val="00F45693"/>
    <w:rsid w:val="00F47983"/>
    <w:rsid w:val="00F47C8B"/>
    <w:rsid w:val="00F506DF"/>
    <w:rsid w:val="00F51F04"/>
    <w:rsid w:val="00F52339"/>
    <w:rsid w:val="00F5277A"/>
    <w:rsid w:val="00F532E8"/>
    <w:rsid w:val="00F537FF"/>
    <w:rsid w:val="00F54405"/>
    <w:rsid w:val="00F560FE"/>
    <w:rsid w:val="00F5669F"/>
    <w:rsid w:val="00F5681C"/>
    <w:rsid w:val="00F605B6"/>
    <w:rsid w:val="00F6111C"/>
    <w:rsid w:val="00F613EC"/>
    <w:rsid w:val="00F614C0"/>
    <w:rsid w:val="00F61647"/>
    <w:rsid w:val="00F61F5F"/>
    <w:rsid w:val="00F64519"/>
    <w:rsid w:val="00F64D5B"/>
    <w:rsid w:val="00F657CF"/>
    <w:rsid w:val="00F664F7"/>
    <w:rsid w:val="00F66A00"/>
    <w:rsid w:val="00F713A3"/>
    <w:rsid w:val="00F719B0"/>
    <w:rsid w:val="00F71A8F"/>
    <w:rsid w:val="00F73E5A"/>
    <w:rsid w:val="00F75330"/>
    <w:rsid w:val="00F75D1C"/>
    <w:rsid w:val="00F76410"/>
    <w:rsid w:val="00F76BD9"/>
    <w:rsid w:val="00F80318"/>
    <w:rsid w:val="00F80703"/>
    <w:rsid w:val="00F80948"/>
    <w:rsid w:val="00F80A7F"/>
    <w:rsid w:val="00F81387"/>
    <w:rsid w:val="00F81E3D"/>
    <w:rsid w:val="00F8214F"/>
    <w:rsid w:val="00F822E3"/>
    <w:rsid w:val="00F82866"/>
    <w:rsid w:val="00F8404A"/>
    <w:rsid w:val="00F84421"/>
    <w:rsid w:val="00F8449B"/>
    <w:rsid w:val="00F84D8D"/>
    <w:rsid w:val="00F85691"/>
    <w:rsid w:val="00F864B2"/>
    <w:rsid w:val="00F87032"/>
    <w:rsid w:val="00F87094"/>
    <w:rsid w:val="00F87AB3"/>
    <w:rsid w:val="00F913DC"/>
    <w:rsid w:val="00F917FE"/>
    <w:rsid w:val="00F91DDA"/>
    <w:rsid w:val="00F9237F"/>
    <w:rsid w:val="00F93646"/>
    <w:rsid w:val="00F9397A"/>
    <w:rsid w:val="00F93A37"/>
    <w:rsid w:val="00F94182"/>
    <w:rsid w:val="00F944D9"/>
    <w:rsid w:val="00F94DB3"/>
    <w:rsid w:val="00F9606C"/>
    <w:rsid w:val="00F96500"/>
    <w:rsid w:val="00FA145C"/>
    <w:rsid w:val="00FA1CD5"/>
    <w:rsid w:val="00FA2C70"/>
    <w:rsid w:val="00FA3F80"/>
    <w:rsid w:val="00FA413A"/>
    <w:rsid w:val="00FA4144"/>
    <w:rsid w:val="00FA4DDF"/>
    <w:rsid w:val="00FA68DC"/>
    <w:rsid w:val="00FA6E7F"/>
    <w:rsid w:val="00FA7114"/>
    <w:rsid w:val="00FA73C0"/>
    <w:rsid w:val="00FB04E1"/>
    <w:rsid w:val="00FB0553"/>
    <w:rsid w:val="00FB0826"/>
    <w:rsid w:val="00FB2379"/>
    <w:rsid w:val="00FB31C3"/>
    <w:rsid w:val="00FB391B"/>
    <w:rsid w:val="00FB4A7A"/>
    <w:rsid w:val="00FB4B8A"/>
    <w:rsid w:val="00FB5152"/>
    <w:rsid w:val="00FB59FD"/>
    <w:rsid w:val="00FB680E"/>
    <w:rsid w:val="00FC0065"/>
    <w:rsid w:val="00FC1A72"/>
    <w:rsid w:val="00FC3AEE"/>
    <w:rsid w:val="00FC56FA"/>
    <w:rsid w:val="00FC6238"/>
    <w:rsid w:val="00FC78AD"/>
    <w:rsid w:val="00FD0D70"/>
    <w:rsid w:val="00FD1E00"/>
    <w:rsid w:val="00FD22EB"/>
    <w:rsid w:val="00FD33FC"/>
    <w:rsid w:val="00FD3730"/>
    <w:rsid w:val="00FD3A9B"/>
    <w:rsid w:val="00FD3ADE"/>
    <w:rsid w:val="00FD3B08"/>
    <w:rsid w:val="00FD4806"/>
    <w:rsid w:val="00FD4BA4"/>
    <w:rsid w:val="00FD534E"/>
    <w:rsid w:val="00FD56C7"/>
    <w:rsid w:val="00FD5CBB"/>
    <w:rsid w:val="00FD6B74"/>
    <w:rsid w:val="00FD70AE"/>
    <w:rsid w:val="00FE002E"/>
    <w:rsid w:val="00FE04B0"/>
    <w:rsid w:val="00FE2398"/>
    <w:rsid w:val="00FE2F15"/>
    <w:rsid w:val="00FE515A"/>
    <w:rsid w:val="00FE5624"/>
    <w:rsid w:val="00FE5D2C"/>
    <w:rsid w:val="00FE5FBF"/>
    <w:rsid w:val="00FE6C25"/>
    <w:rsid w:val="00FF000F"/>
    <w:rsid w:val="00FF033A"/>
    <w:rsid w:val="00FF035A"/>
    <w:rsid w:val="00FF0964"/>
    <w:rsid w:val="00FF16F2"/>
    <w:rsid w:val="00FF17AA"/>
    <w:rsid w:val="00FF1D24"/>
    <w:rsid w:val="00FF2B42"/>
    <w:rsid w:val="00FF3B7F"/>
    <w:rsid w:val="00FF5615"/>
    <w:rsid w:val="00FF6822"/>
    <w:rsid w:val="00FF73D0"/>
    <w:rsid w:val="00FF7D43"/>
    <w:rsid w:val="05893274"/>
    <w:rsid w:val="088190D0"/>
    <w:rsid w:val="0FDC08DB"/>
    <w:rsid w:val="14CAD5E4"/>
    <w:rsid w:val="14D5A090"/>
    <w:rsid w:val="17124F94"/>
    <w:rsid w:val="1A928BB7"/>
    <w:rsid w:val="1CEFF1BD"/>
    <w:rsid w:val="34B8A9D4"/>
    <w:rsid w:val="4EBEF9C7"/>
    <w:rsid w:val="50F6EDAA"/>
    <w:rsid w:val="62AAF028"/>
    <w:rsid w:val="6BED8D6C"/>
    <w:rsid w:val="6ED72757"/>
    <w:rsid w:val="7193A0B0"/>
    <w:rsid w:val="72FBCB67"/>
    <w:rsid w:val="75131494"/>
    <w:rsid w:val="76DD4435"/>
    <w:rsid w:val="7C49DD8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41"/>
    <o:shapelayout v:ext="edit">
      <o:idmap v:ext="edit" data="1"/>
    </o:shapelayout>
  </w:shapeDefaults>
  <w:decimalSymbol w:val=","/>
  <w:listSeparator w:val=";"/>
  <w14:docId w14:val="42D7AF92"/>
  <w15:docId w15:val="{BDF94520-9BF6-4533-8EE6-6EDBD8BF24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qFormat/>
    <w:rsid w:val="005831DD"/>
    <w:pPr>
      <w:keepNext/>
      <w:keepLines/>
      <w:numPr>
        <w:numId w:val="4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qFormat/>
    <w:rsid w:val="005831DD"/>
    <w:rPr>
      <w:sz w:val="16"/>
    </w:rPr>
  </w:style>
  <w:style w:type="paragraph" w:styleId="CommentText">
    <w:name w:val="annotation text"/>
    <w:basedOn w:val="Normal"/>
    <w:link w:val="CommentTextChar"/>
    <w:qFormat/>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Lista1,?? ??,?????,????"/>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qFormat/>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semiHidden/>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Lista1 Char,?? ?? Char,????? Char,????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
    <w:basedOn w:val="DefaultParagraphFont"/>
    <w:link w:val="Header"/>
    <w:rsid w:val="00C43547"/>
    <w:rPr>
      <w:rFonts w:ascii="Arial" w:hAnsi="Arial"/>
      <w:b/>
      <w:noProof/>
      <w:sz w:val="18"/>
    </w:rPr>
  </w:style>
  <w:style w:type="character" w:customStyle="1" w:styleId="THChar">
    <w:name w:val="TH Char"/>
    <w:link w:val="TH"/>
    <w:rsid w:val="00AB6F48"/>
    <w:rPr>
      <w:rFonts w:ascii="Arial" w:hAnsi="Arial"/>
      <w:b/>
      <w:lang w:val="en-GB"/>
    </w:rPr>
  </w:style>
  <w:style w:type="character" w:customStyle="1" w:styleId="TACChar">
    <w:name w:val="TAC Char"/>
    <w:link w:val="TAC"/>
    <w:locked/>
    <w:rsid w:val="00AB6F48"/>
    <w:rPr>
      <w:rFonts w:ascii="Arial" w:hAnsi="Arial"/>
      <w:sz w:val="18"/>
      <w:lang w:val="en-GB"/>
    </w:rPr>
  </w:style>
  <w:style w:type="character" w:customStyle="1" w:styleId="TAHCar">
    <w:name w:val="TAH Car"/>
    <w:link w:val="TAH"/>
    <w:rsid w:val="00AB6F48"/>
    <w:rPr>
      <w:rFonts w:ascii="Arial" w:hAnsi="Arial"/>
      <w:b/>
      <w:sz w:val="18"/>
      <w:lang w:val="en-GB"/>
    </w:rPr>
  </w:style>
  <w:style w:type="character" w:customStyle="1" w:styleId="Heading2Char">
    <w:name w:val="Heading 2 Char"/>
    <w:aliases w:val="H2 Char,h2 Char,DO NOT USE_h2 Char,h21 Char,Heading 2 3GPP Char"/>
    <w:basedOn w:val="DefaultParagraphFont"/>
    <w:link w:val="Heading2"/>
    <w:rsid w:val="00C214B4"/>
    <w:rPr>
      <w:rFonts w:ascii="Arial" w:hAnsi="Arial"/>
      <w:sz w:val="32"/>
      <w:lang w:val="en-GB"/>
    </w:rPr>
  </w:style>
  <w:style w:type="paragraph" w:customStyle="1" w:styleId="bullet">
    <w:name w:val="bullet"/>
    <w:basedOn w:val="ListParagraph"/>
    <w:link w:val="bulletChar"/>
    <w:qFormat/>
    <w:rsid w:val="00F75D1C"/>
    <w:pPr>
      <w:widowControl w:val="0"/>
      <w:numPr>
        <w:numId w:val="11"/>
      </w:numPr>
      <w:spacing w:after="60"/>
      <w:ind w:left="720"/>
      <w:jc w:val="both"/>
    </w:pPr>
    <w:rPr>
      <w:rFonts w:eastAsia="Times New Roman"/>
      <w:kern w:val="2"/>
      <w:sz w:val="20"/>
      <w:lang w:val="en-GB" w:eastAsia="en-US"/>
    </w:rPr>
  </w:style>
  <w:style w:type="character" w:customStyle="1" w:styleId="bulletChar">
    <w:name w:val="bullet Char"/>
    <w:link w:val="bullet"/>
    <w:rsid w:val="00F75D1C"/>
    <w:rPr>
      <w:rFonts w:ascii="Times New Roman" w:eastAsia="Times New Roman" w:hAnsi="Times New Roman"/>
      <w:kern w:val="2"/>
      <w:szCs w:val="24"/>
      <w:lang w:val="en-GB"/>
    </w:rPr>
  </w:style>
  <w:style w:type="character" w:customStyle="1" w:styleId="normaltextrun1">
    <w:name w:val="normaltextrun1"/>
    <w:basedOn w:val="DefaultParagraphFont"/>
    <w:rsid w:val="00CA2655"/>
  </w:style>
  <w:style w:type="character" w:customStyle="1" w:styleId="spellingerror">
    <w:name w:val="spellingerror"/>
    <w:basedOn w:val="DefaultParagraphFont"/>
    <w:rsid w:val="00F3429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2206127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77176378">
      <w:bodyDiv w:val="1"/>
      <w:marLeft w:val="0"/>
      <w:marRight w:val="0"/>
      <w:marTop w:val="0"/>
      <w:marBottom w:val="0"/>
      <w:divBdr>
        <w:top w:val="none" w:sz="0" w:space="0" w:color="auto"/>
        <w:left w:val="none" w:sz="0" w:space="0" w:color="auto"/>
        <w:bottom w:val="none" w:sz="0" w:space="0" w:color="auto"/>
        <w:right w:val="none" w:sz="0" w:space="0" w:color="auto"/>
      </w:divBdr>
    </w:div>
    <w:div w:id="322896028">
      <w:bodyDiv w:val="1"/>
      <w:marLeft w:val="0"/>
      <w:marRight w:val="0"/>
      <w:marTop w:val="0"/>
      <w:marBottom w:val="0"/>
      <w:divBdr>
        <w:top w:val="none" w:sz="0" w:space="0" w:color="auto"/>
        <w:left w:val="none" w:sz="0" w:space="0" w:color="auto"/>
        <w:bottom w:val="none" w:sz="0" w:space="0" w:color="auto"/>
        <w:right w:val="none" w:sz="0" w:space="0" w:color="auto"/>
      </w:divBdr>
    </w:div>
    <w:div w:id="333651410">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39951629">
      <w:bodyDiv w:val="1"/>
      <w:marLeft w:val="0"/>
      <w:marRight w:val="0"/>
      <w:marTop w:val="0"/>
      <w:marBottom w:val="0"/>
      <w:divBdr>
        <w:top w:val="none" w:sz="0" w:space="0" w:color="auto"/>
        <w:left w:val="none" w:sz="0" w:space="0" w:color="auto"/>
        <w:bottom w:val="none" w:sz="0" w:space="0" w:color="auto"/>
        <w:right w:val="none" w:sz="0" w:space="0" w:color="auto"/>
      </w:divBdr>
    </w:div>
    <w:div w:id="457842007">
      <w:bodyDiv w:val="1"/>
      <w:marLeft w:val="0"/>
      <w:marRight w:val="0"/>
      <w:marTop w:val="0"/>
      <w:marBottom w:val="0"/>
      <w:divBdr>
        <w:top w:val="none" w:sz="0" w:space="0" w:color="auto"/>
        <w:left w:val="none" w:sz="0" w:space="0" w:color="auto"/>
        <w:bottom w:val="none" w:sz="0" w:space="0" w:color="auto"/>
        <w:right w:val="none" w:sz="0" w:space="0" w:color="auto"/>
      </w:divBdr>
      <w:divsChild>
        <w:div w:id="887573610">
          <w:marLeft w:val="806"/>
          <w:marRight w:val="0"/>
          <w:marTop w:val="0"/>
          <w:marBottom w:val="120"/>
          <w:divBdr>
            <w:top w:val="none" w:sz="0" w:space="0" w:color="auto"/>
            <w:left w:val="none" w:sz="0" w:space="0" w:color="auto"/>
            <w:bottom w:val="none" w:sz="0" w:space="0" w:color="auto"/>
            <w:right w:val="none" w:sz="0" w:space="0" w:color="auto"/>
          </w:divBdr>
        </w:div>
        <w:div w:id="1684740996">
          <w:marLeft w:val="806"/>
          <w:marRight w:val="0"/>
          <w:marTop w:val="0"/>
          <w:marBottom w:val="120"/>
          <w:divBdr>
            <w:top w:val="none" w:sz="0" w:space="0" w:color="auto"/>
            <w:left w:val="none" w:sz="0" w:space="0" w:color="auto"/>
            <w:bottom w:val="none" w:sz="0" w:space="0" w:color="auto"/>
            <w:right w:val="none" w:sz="0" w:space="0" w:color="auto"/>
          </w:divBdr>
        </w:div>
      </w:divsChild>
    </w:div>
    <w:div w:id="460995666">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3321289">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21168846">
      <w:bodyDiv w:val="1"/>
      <w:marLeft w:val="0"/>
      <w:marRight w:val="0"/>
      <w:marTop w:val="0"/>
      <w:marBottom w:val="0"/>
      <w:divBdr>
        <w:top w:val="none" w:sz="0" w:space="0" w:color="auto"/>
        <w:left w:val="none" w:sz="0" w:space="0" w:color="auto"/>
        <w:bottom w:val="none" w:sz="0" w:space="0" w:color="auto"/>
        <w:right w:val="none" w:sz="0" w:space="0" w:color="auto"/>
      </w:divBdr>
      <w:divsChild>
        <w:div w:id="559636577">
          <w:marLeft w:val="1166"/>
          <w:marRight w:val="0"/>
          <w:marTop w:val="0"/>
          <w:marBottom w:val="0"/>
          <w:divBdr>
            <w:top w:val="none" w:sz="0" w:space="0" w:color="auto"/>
            <w:left w:val="none" w:sz="0" w:space="0" w:color="auto"/>
            <w:bottom w:val="none" w:sz="0" w:space="0" w:color="auto"/>
            <w:right w:val="none" w:sz="0" w:space="0" w:color="auto"/>
          </w:divBdr>
        </w:div>
      </w:divsChild>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74704389">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1807488">
      <w:bodyDiv w:val="1"/>
      <w:marLeft w:val="0"/>
      <w:marRight w:val="0"/>
      <w:marTop w:val="0"/>
      <w:marBottom w:val="0"/>
      <w:divBdr>
        <w:top w:val="none" w:sz="0" w:space="0" w:color="auto"/>
        <w:left w:val="none" w:sz="0" w:space="0" w:color="auto"/>
        <w:bottom w:val="none" w:sz="0" w:space="0" w:color="auto"/>
        <w:right w:val="none" w:sz="0" w:space="0" w:color="auto"/>
      </w:divBdr>
      <w:divsChild>
        <w:div w:id="195192988">
          <w:marLeft w:val="547"/>
          <w:marRight w:val="0"/>
          <w:marTop w:val="0"/>
          <w:marBottom w:val="0"/>
          <w:divBdr>
            <w:top w:val="none" w:sz="0" w:space="0" w:color="auto"/>
            <w:left w:val="none" w:sz="0" w:space="0" w:color="auto"/>
            <w:bottom w:val="none" w:sz="0" w:space="0" w:color="auto"/>
            <w:right w:val="none" w:sz="0" w:space="0" w:color="auto"/>
          </w:divBdr>
        </w:div>
        <w:div w:id="2117678323">
          <w:marLeft w:val="1166"/>
          <w:marRight w:val="0"/>
          <w:marTop w:val="0"/>
          <w:marBottom w:val="0"/>
          <w:divBdr>
            <w:top w:val="none" w:sz="0" w:space="0" w:color="auto"/>
            <w:left w:val="none" w:sz="0" w:space="0" w:color="auto"/>
            <w:bottom w:val="none" w:sz="0" w:space="0" w:color="auto"/>
            <w:right w:val="none" w:sz="0" w:space="0" w:color="auto"/>
          </w:divBdr>
        </w:div>
        <w:div w:id="2067951702">
          <w:marLeft w:val="1800"/>
          <w:marRight w:val="0"/>
          <w:marTop w:val="0"/>
          <w:marBottom w:val="0"/>
          <w:divBdr>
            <w:top w:val="none" w:sz="0" w:space="0" w:color="auto"/>
            <w:left w:val="none" w:sz="0" w:space="0" w:color="auto"/>
            <w:bottom w:val="none" w:sz="0" w:space="0" w:color="auto"/>
            <w:right w:val="none" w:sz="0" w:space="0" w:color="auto"/>
          </w:divBdr>
        </w:div>
        <w:div w:id="1334258866">
          <w:marLeft w:val="1800"/>
          <w:marRight w:val="0"/>
          <w:marTop w:val="0"/>
          <w:marBottom w:val="0"/>
          <w:divBdr>
            <w:top w:val="none" w:sz="0" w:space="0" w:color="auto"/>
            <w:left w:val="none" w:sz="0" w:space="0" w:color="auto"/>
            <w:bottom w:val="none" w:sz="0" w:space="0" w:color="auto"/>
            <w:right w:val="none" w:sz="0" w:space="0" w:color="auto"/>
          </w:divBdr>
        </w:div>
        <w:div w:id="1450078919">
          <w:marLeft w:val="2520"/>
          <w:marRight w:val="0"/>
          <w:marTop w:val="0"/>
          <w:marBottom w:val="0"/>
          <w:divBdr>
            <w:top w:val="none" w:sz="0" w:space="0" w:color="auto"/>
            <w:left w:val="none" w:sz="0" w:space="0" w:color="auto"/>
            <w:bottom w:val="none" w:sz="0" w:space="0" w:color="auto"/>
            <w:right w:val="none" w:sz="0" w:space="0" w:color="auto"/>
          </w:divBdr>
        </w:div>
        <w:div w:id="154415807">
          <w:marLeft w:val="1166"/>
          <w:marRight w:val="0"/>
          <w:marTop w:val="0"/>
          <w:marBottom w:val="0"/>
          <w:divBdr>
            <w:top w:val="none" w:sz="0" w:space="0" w:color="auto"/>
            <w:left w:val="none" w:sz="0" w:space="0" w:color="auto"/>
            <w:bottom w:val="none" w:sz="0" w:space="0" w:color="auto"/>
            <w:right w:val="none" w:sz="0" w:space="0" w:color="auto"/>
          </w:divBdr>
        </w:div>
        <w:div w:id="764157152">
          <w:marLeft w:val="547"/>
          <w:marRight w:val="0"/>
          <w:marTop w:val="0"/>
          <w:marBottom w:val="0"/>
          <w:divBdr>
            <w:top w:val="none" w:sz="0" w:space="0" w:color="auto"/>
            <w:left w:val="none" w:sz="0" w:space="0" w:color="auto"/>
            <w:bottom w:val="none" w:sz="0" w:space="0" w:color="auto"/>
            <w:right w:val="none" w:sz="0" w:space="0" w:color="auto"/>
          </w:divBdr>
        </w:div>
        <w:div w:id="1574468032">
          <w:marLeft w:val="1166"/>
          <w:marRight w:val="0"/>
          <w:marTop w:val="0"/>
          <w:marBottom w:val="0"/>
          <w:divBdr>
            <w:top w:val="none" w:sz="0" w:space="0" w:color="auto"/>
            <w:left w:val="none" w:sz="0" w:space="0" w:color="auto"/>
            <w:bottom w:val="none" w:sz="0" w:space="0" w:color="auto"/>
            <w:right w:val="none" w:sz="0" w:space="0" w:color="auto"/>
          </w:divBdr>
        </w:div>
        <w:div w:id="1604149264">
          <w:marLeft w:val="1800"/>
          <w:marRight w:val="0"/>
          <w:marTop w:val="0"/>
          <w:marBottom w:val="0"/>
          <w:divBdr>
            <w:top w:val="none" w:sz="0" w:space="0" w:color="auto"/>
            <w:left w:val="none" w:sz="0" w:space="0" w:color="auto"/>
            <w:bottom w:val="none" w:sz="0" w:space="0" w:color="auto"/>
            <w:right w:val="none" w:sz="0" w:space="0" w:color="auto"/>
          </w:divBdr>
        </w:div>
        <w:div w:id="2058815657">
          <w:marLeft w:val="1800"/>
          <w:marRight w:val="0"/>
          <w:marTop w:val="0"/>
          <w:marBottom w:val="0"/>
          <w:divBdr>
            <w:top w:val="none" w:sz="0" w:space="0" w:color="auto"/>
            <w:left w:val="none" w:sz="0" w:space="0" w:color="auto"/>
            <w:bottom w:val="none" w:sz="0" w:space="0" w:color="auto"/>
            <w:right w:val="none" w:sz="0" w:space="0" w:color="auto"/>
          </w:divBdr>
        </w:div>
        <w:div w:id="339770958">
          <w:marLeft w:val="2520"/>
          <w:marRight w:val="0"/>
          <w:marTop w:val="0"/>
          <w:marBottom w:val="0"/>
          <w:divBdr>
            <w:top w:val="none" w:sz="0" w:space="0" w:color="auto"/>
            <w:left w:val="none" w:sz="0" w:space="0" w:color="auto"/>
            <w:bottom w:val="none" w:sz="0" w:space="0" w:color="auto"/>
            <w:right w:val="none" w:sz="0" w:space="0" w:color="auto"/>
          </w:divBdr>
        </w:div>
        <w:div w:id="845554572">
          <w:marLeft w:val="2520"/>
          <w:marRight w:val="0"/>
          <w:marTop w:val="0"/>
          <w:marBottom w:val="0"/>
          <w:divBdr>
            <w:top w:val="none" w:sz="0" w:space="0" w:color="auto"/>
            <w:left w:val="none" w:sz="0" w:space="0" w:color="auto"/>
            <w:bottom w:val="none" w:sz="0" w:space="0" w:color="auto"/>
            <w:right w:val="none" w:sz="0" w:space="0" w:color="auto"/>
          </w:divBdr>
        </w:div>
      </w:divsChild>
    </w:div>
    <w:div w:id="994603463">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40125515">
      <w:bodyDiv w:val="1"/>
      <w:marLeft w:val="0"/>
      <w:marRight w:val="0"/>
      <w:marTop w:val="0"/>
      <w:marBottom w:val="0"/>
      <w:divBdr>
        <w:top w:val="none" w:sz="0" w:space="0" w:color="auto"/>
        <w:left w:val="none" w:sz="0" w:space="0" w:color="auto"/>
        <w:bottom w:val="none" w:sz="0" w:space="0" w:color="auto"/>
        <w:right w:val="none" w:sz="0" w:space="0" w:color="auto"/>
      </w:divBdr>
      <w:divsChild>
        <w:div w:id="420026613">
          <w:marLeft w:val="547"/>
          <w:marRight w:val="0"/>
          <w:marTop w:val="0"/>
          <w:marBottom w:val="0"/>
          <w:divBdr>
            <w:top w:val="none" w:sz="0" w:space="0" w:color="auto"/>
            <w:left w:val="none" w:sz="0" w:space="0" w:color="auto"/>
            <w:bottom w:val="none" w:sz="0" w:space="0" w:color="auto"/>
            <w:right w:val="none" w:sz="0" w:space="0" w:color="auto"/>
          </w:divBdr>
        </w:div>
        <w:div w:id="1722440318">
          <w:marLeft w:val="1166"/>
          <w:marRight w:val="0"/>
          <w:marTop w:val="0"/>
          <w:marBottom w:val="0"/>
          <w:divBdr>
            <w:top w:val="none" w:sz="0" w:space="0" w:color="auto"/>
            <w:left w:val="none" w:sz="0" w:space="0" w:color="auto"/>
            <w:bottom w:val="none" w:sz="0" w:space="0" w:color="auto"/>
            <w:right w:val="none" w:sz="0" w:space="0" w:color="auto"/>
          </w:divBdr>
        </w:div>
        <w:div w:id="1635910366">
          <w:marLeft w:val="1800"/>
          <w:marRight w:val="0"/>
          <w:marTop w:val="0"/>
          <w:marBottom w:val="0"/>
          <w:divBdr>
            <w:top w:val="none" w:sz="0" w:space="0" w:color="auto"/>
            <w:left w:val="none" w:sz="0" w:space="0" w:color="auto"/>
            <w:bottom w:val="none" w:sz="0" w:space="0" w:color="auto"/>
            <w:right w:val="none" w:sz="0" w:space="0" w:color="auto"/>
          </w:divBdr>
        </w:div>
        <w:div w:id="742139126">
          <w:marLeft w:val="1800"/>
          <w:marRight w:val="0"/>
          <w:marTop w:val="0"/>
          <w:marBottom w:val="0"/>
          <w:divBdr>
            <w:top w:val="none" w:sz="0" w:space="0" w:color="auto"/>
            <w:left w:val="none" w:sz="0" w:space="0" w:color="auto"/>
            <w:bottom w:val="none" w:sz="0" w:space="0" w:color="auto"/>
            <w:right w:val="none" w:sz="0" w:space="0" w:color="auto"/>
          </w:divBdr>
        </w:div>
        <w:div w:id="439229343">
          <w:marLeft w:val="2520"/>
          <w:marRight w:val="0"/>
          <w:marTop w:val="0"/>
          <w:marBottom w:val="0"/>
          <w:divBdr>
            <w:top w:val="none" w:sz="0" w:space="0" w:color="auto"/>
            <w:left w:val="none" w:sz="0" w:space="0" w:color="auto"/>
            <w:bottom w:val="none" w:sz="0" w:space="0" w:color="auto"/>
            <w:right w:val="none" w:sz="0" w:space="0" w:color="auto"/>
          </w:divBdr>
        </w:div>
        <w:div w:id="89081933">
          <w:marLeft w:val="1166"/>
          <w:marRight w:val="0"/>
          <w:marTop w:val="0"/>
          <w:marBottom w:val="0"/>
          <w:divBdr>
            <w:top w:val="none" w:sz="0" w:space="0" w:color="auto"/>
            <w:left w:val="none" w:sz="0" w:space="0" w:color="auto"/>
            <w:bottom w:val="none" w:sz="0" w:space="0" w:color="auto"/>
            <w:right w:val="none" w:sz="0" w:space="0" w:color="auto"/>
          </w:divBdr>
        </w:div>
        <w:div w:id="488596364">
          <w:marLeft w:val="547"/>
          <w:marRight w:val="0"/>
          <w:marTop w:val="0"/>
          <w:marBottom w:val="0"/>
          <w:divBdr>
            <w:top w:val="none" w:sz="0" w:space="0" w:color="auto"/>
            <w:left w:val="none" w:sz="0" w:space="0" w:color="auto"/>
            <w:bottom w:val="none" w:sz="0" w:space="0" w:color="auto"/>
            <w:right w:val="none" w:sz="0" w:space="0" w:color="auto"/>
          </w:divBdr>
        </w:div>
        <w:div w:id="27223891">
          <w:marLeft w:val="1166"/>
          <w:marRight w:val="0"/>
          <w:marTop w:val="0"/>
          <w:marBottom w:val="0"/>
          <w:divBdr>
            <w:top w:val="none" w:sz="0" w:space="0" w:color="auto"/>
            <w:left w:val="none" w:sz="0" w:space="0" w:color="auto"/>
            <w:bottom w:val="none" w:sz="0" w:space="0" w:color="auto"/>
            <w:right w:val="none" w:sz="0" w:space="0" w:color="auto"/>
          </w:divBdr>
        </w:div>
        <w:div w:id="1351221862">
          <w:marLeft w:val="1800"/>
          <w:marRight w:val="0"/>
          <w:marTop w:val="0"/>
          <w:marBottom w:val="0"/>
          <w:divBdr>
            <w:top w:val="none" w:sz="0" w:space="0" w:color="auto"/>
            <w:left w:val="none" w:sz="0" w:space="0" w:color="auto"/>
            <w:bottom w:val="none" w:sz="0" w:space="0" w:color="auto"/>
            <w:right w:val="none" w:sz="0" w:space="0" w:color="auto"/>
          </w:divBdr>
        </w:div>
        <w:div w:id="990018400">
          <w:marLeft w:val="1800"/>
          <w:marRight w:val="0"/>
          <w:marTop w:val="0"/>
          <w:marBottom w:val="0"/>
          <w:divBdr>
            <w:top w:val="none" w:sz="0" w:space="0" w:color="auto"/>
            <w:left w:val="none" w:sz="0" w:space="0" w:color="auto"/>
            <w:bottom w:val="none" w:sz="0" w:space="0" w:color="auto"/>
            <w:right w:val="none" w:sz="0" w:space="0" w:color="auto"/>
          </w:divBdr>
        </w:div>
        <w:div w:id="2779858">
          <w:marLeft w:val="2520"/>
          <w:marRight w:val="0"/>
          <w:marTop w:val="0"/>
          <w:marBottom w:val="0"/>
          <w:divBdr>
            <w:top w:val="none" w:sz="0" w:space="0" w:color="auto"/>
            <w:left w:val="none" w:sz="0" w:space="0" w:color="auto"/>
            <w:bottom w:val="none" w:sz="0" w:space="0" w:color="auto"/>
            <w:right w:val="none" w:sz="0" w:space="0" w:color="auto"/>
          </w:divBdr>
        </w:div>
        <w:div w:id="1337264811">
          <w:marLeft w:val="2520"/>
          <w:marRight w:val="0"/>
          <w:marTop w:val="0"/>
          <w:marBottom w:val="0"/>
          <w:divBdr>
            <w:top w:val="none" w:sz="0" w:space="0" w:color="auto"/>
            <w:left w:val="none" w:sz="0" w:space="0" w:color="auto"/>
            <w:bottom w:val="none" w:sz="0" w:space="0" w:color="auto"/>
            <w:right w:val="none" w:sz="0" w:space="0" w:color="auto"/>
          </w:divBdr>
        </w:div>
      </w:divsChild>
    </w:div>
    <w:div w:id="1040669912">
      <w:bodyDiv w:val="1"/>
      <w:marLeft w:val="0"/>
      <w:marRight w:val="0"/>
      <w:marTop w:val="0"/>
      <w:marBottom w:val="0"/>
      <w:divBdr>
        <w:top w:val="none" w:sz="0" w:space="0" w:color="auto"/>
        <w:left w:val="none" w:sz="0" w:space="0" w:color="auto"/>
        <w:bottom w:val="none" w:sz="0" w:space="0" w:color="auto"/>
        <w:right w:val="none" w:sz="0" w:space="0" w:color="auto"/>
      </w:divBdr>
    </w:div>
    <w:div w:id="1046105591">
      <w:bodyDiv w:val="1"/>
      <w:marLeft w:val="0"/>
      <w:marRight w:val="0"/>
      <w:marTop w:val="0"/>
      <w:marBottom w:val="0"/>
      <w:divBdr>
        <w:top w:val="none" w:sz="0" w:space="0" w:color="auto"/>
        <w:left w:val="none" w:sz="0" w:space="0" w:color="auto"/>
        <w:bottom w:val="none" w:sz="0" w:space="0" w:color="auto"/>
        <w:right w:val="none" w:sz="0" w:space="0" w:color="auto"/>
      </w:divBdr>
      <w:divsChild>
        <w:div w:id="2146585974">
          <w:marLeft w:val="1166"/>
          <w:marRight w:val="0"/>
          <w:marTop w:val="0"/>
          <w:marBottom w:val="0"/>
          <w:divBdr>
            <w:top w:val="none" w:sz="0" w:space="0" w:color="auto"/>
            <w:left w:val="none" w:sz="0" w:space="0" w:color="auto"/>
            <w:bottom w:val="none" w:sz="0" w:space="0" w:color="auto"/>
            <w:right w:val="none" w:sz="0" w:space="0" w:color="auto"/>
          </w:divBdr>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64008700">
      <w:bodyDiv w:val="1"/>
      <w:marLeft w:val="0"/>
      <w:marRight w:val="0"/>
      <w:marTop w:val="0"/>
      <w:marBottom w:val="0"/>
      <w:divBdr>
        <w:top w:val="none" w:sz="0" w:space="0" w:color="auto"/>
        <w:left w:val="none" w:sz="0" w:space="0" w:color="auto"/>
        <w:bottom w:val="none" w:sz="0" w:space="0" w:color="auto"/>
        <w:right w:val="none" w:sz="0" w:space="0" w:color="auto"/>
      </w:divBdr>
      <w:divsChild>
        <w:div w:id="258830805">
          <w:marLeft w:val="360"/>
          <w:marRight w:val="0"/>
          <w:marTop w:val="0"/>
          <w:marBottom w:val="120"/>
          <w:divBdr>
            <w:top w:val="none" w:sz="0" w:space="0" w:color="auto"/>
            <w:left w:val="none" w:sz="0" w:space="0" w:color="auto"/>
            <w:bottom w:val="none" w:sz="0" w:space="0" w:color="auto"/>
            <w:right w:val="none" w:sz="0" w:space="0" w:color="auto"/>
          </w:divBdr>
        </w:div>
        <w:div w:id="510409848">
          <w:marLeft w:val="720"/>
          <w:marRight w:val="0"/>
          <w:marTop w:val="0"/>
          <w:marBottom w:val="120"/>
          <w:divBdr>
            <w:top w:val="none" w:sz="0" w:space="0" w:color="auto"/>
            <w:left w:val="none" w:sz="0" w:space="0" w:color="auto"/>
            <w:bottom w:val="none" w:sz="0" w:space="0" w:color="auto"/>
            <w:right w:val="none" w:sz="0" w:space="0" w:color="auto"/>
          </w:divBdr>
        </w:div>
        <w:div w:id="1250312707">
          <w:marLeft w:val="720"/>
          <w:marRight w:val="0"/>
          <w:marTop w:val="0"/>
          <w:marBottom w:val="120"/>
          <w:divBdr>
            <w:top w:val="none" w:sz="0" w:space="0" w:color="auto"/>
            <w:left w:val="none" w:sz="0" w:space="0" w:color="auto"/>
            <w:bottom w:val="none" w:sz="0" w:space="0" w:color="auto"/>
            <w:right w:val="none" w:sz="0" w:space="0" w:color="auto"/>
          </w:divBdr>
        </w:div>
        <w:div w:id="397634219">
          <w:marLeft w:val="720"/>
          <w:marRight w:val="0"/>
          <w:marTop w:val="0"/>
          <w:marBottom w:val="120"/>
          <w:divBdr>
            <w:top w:val="none" w:sz="0" w:space="0" w:color="auto"/>
            <w:left w:val="none" w:sz="0" w:space="0" w:color="auto"/>
            <w:bottom w:val="none" w:sz="0" w:space="0" w:color="auto"/>
            <w:right w:val="none" w:sz="0" w:space="0" w:color="auto"/>
          </w:divBdr>
        </w:div>
      </w:divsChild>
    </w:div>
    <w:div w:id="1203666515">
      <w:bodyDiv w:val="1"/>
      <w:marLeft w:val="0"/>
      <w:marRight w:val="0"/>
      <w:marTop w:val="0"/>
      <w:marBottom w:val="0"/>
      <w:divBdr>
        <w:top w:val="none" w:sz="0" w:space="0" w:color="auto"/>
        <w:left w:val="none" w:sz="0" w:space="0" w:color="auto"/>
        <w:bottom w:val="none" w:sz="0" w:space="0" w:color="auto"/>
        <w:right w:val="none" w:sz="0" w:space="0" w:color="auto"/>
      </w:divBdr>
      <w:divsChild>
        <w:div w:id="205265066">
          <w:marLeft w:val="0"/>
          <w:marRight w:val="0"/>
          <w:marTop w:val="0"/>
          <w:marBottom w:val="0"/>
          <w:divBdr>
            <w:top w:val="none" w:sz="0" w:space="0" w:color="auto"/>
            <w:left w:val="none" w:sz="0" w:space="0" w:color="auto"/>
            <w:bottom w:val="none" w:sz="0" w:space="0" w:color="auto"/>
            <w:right w:val="none" w:sz="0" w:space="0" w:color="auto"/>
          </w:divBdr>
          <w:divsChild>
            <w:div w:id="1435973413">
              <w:marLeft w:val="0"/>
              <w:marRight w:val="0"/>
              <w:marTop w:val="0"/>
              <w:marBottom w:val="0"/>
              <w:divBdr>
                <w:top w:val="none" w:sz="0" w:space="0" w:color="auto"/>
                <w:left w:val="none" w:sz="0" w:space="0" w:color="auto"/>
                <w:bottom w:val="none" w:sz="0" w:space="0" w:color="auto"/>
                <w:right w:val="none" w:sz="0" w:space="0" w:color="auto"/>
              </w:divBdr>
              <w:divsChild>
                <w:div w:id="406852281">
                  <w:marLeft w:val="0"/>
                  <w:marRight w:val="0"/>
                  <w:marTop w:val="0"/>
                  <w:marBottom w:val="0"/>
                  <w:divBdr>
                    <w:top w:val="none" w:sz="0" w:space="0" w:color="auto"/>
                    <w:left w:val="none" w:sz="0" w:space="0" w:color="auto"/>
                    <w:bottom w:val="none" w:sz="0" w:space="0" w:color="auto"/>
                    <w:right w:val="none" w:sz="0" w:space="0" w:color="auto"/>
                  </w:divBdr>
                </w:div>
                <w:div w:id="1124926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8922468">
      <w:bodyDiv w:val="1"/>
      <w:marLeft w:val="0"/>
      <w:marRight w:val="0"/>
      <w:marTop w:val="0"/>
      <w:marBottom w:val="0"/>
      <w:divBdr>
        <w:top w:val="none" w:sz="0" w:space="0" w:color="auto"/>
        <w:left w:val="none" w:sz="0" w:space="0" w:color="auto"/>
        <w:bottom w:val="none" w:sz="0" w:space="0" w:color="auto"/>
        <w:right w:val="none" w:sz="0" w:space="0" w:color="auto"/>
      </w:divBdr>
      <w:divsChild>
        <w:div w:id="725837710">
          <w:marLeft w:val="547"/>
          <w:marRight w:val="0"/>
          <w:marTop w:val="0"/>
          <w:marBottom w:val="0"/>
          <w:divBdr>
            <w:top w:val="none" w:sz="0" w:space="0" w:color="auto"/>
            <w:left w:val="none" w:sz="0" w:space="0" w:color="auto"/>
            <w:bottom w:val="none" w:sz="0" w:space="0" w:color="auto"/>
            <w:right w:val="none" w:sz="0" w:space="0" w:color="auto"/>
          </w:divBdr>
        </w:div>
        <w:div w:id="188223579">
          <w:marLeft w:val="547"/>
          <w:marRight w:val="0"/>
          <w:marTop w:val="0"/>
          <w:marBottom w:val="0"/>
          <w:divBdr>
            <w:top w:val="none" w:sz="0" w:space="0" w:color="auto"/>
            <w:left w:val="none" w:sz="0" w:space="0" w:color="auto"/>
            <w:bottom w:val="none" w:sz="0" w:space="0" w:color="auto"/>
            <w:right w:val="none" w:sz="0" w:space="0" w:color="auto"/>
          </w:divBdr>
        </w:div>
        <w:div w:id="351692594">
          <w:marLeft w:val="360"/>
          <w:marRight w:val="0"/>
          <w:marTop w:val="0"/>
          <w:marBottom w:val="0"/>
          <w:divBdr>
            <w:top w:val="none" w:sz="0" w:space="0" w:color="auto"/>
            <w:left w:val="none" w:sz="0" w:space="0" w:color="auto"/>
            <w:bottom w:val="none" w:sz="0" w:space="0" w:color="auto"/>
            <w:right w:val="none" w:sz="0" w:space="0" w:color="auto"/>
          </w:divBdr>
        </w:div>
        <w:div w:id="498884917">
          <w:marLeft w:val="1166"/>
          <w:marRight w:val="0"/>
          <w:marTop w:val="0"/>
          <w:marBottom w:val="0"/>
          <w:divBdr>
            <w:top w:val="none" w:sz="0" w:space="0" w:color="auto"/>
            <w:left w:val="none" w:sz="0" w:space="0" w:color="auto"/>
            <w:bottom w:val="none" w:sz="0" w:space="0" w:color="auto"/>
            <w:right w:val="none" w:sz="0" w:space="0" w:color="auto"/>
          </w:divBdr>
        </w:div>
      </w:divsChild>
    </w:div>
    <w:div w:id="1302804017">
      <w:bodyDiv w:val="1"/>
      <w:marLeft w:val="0"/>
      <w:marRight w:val="0"/>
      <w:marTop w:val="0"/>
      <w:marBottom w:val="0"/>
      <w:divBdr>
        <w:top w:val="none" w:sz="0" w:space="0" w:color="auto"/>
        <w:left w:val="none" w:sz="0" w:space="0" w:color="auto"/>
        <w:bottom w:val="none" w:sz="0" w:space="0" w:color="auto"/>
        <w:right w:val="none" w:sz="0" w:space="0" w:color="auto"/>
      </w:divBdr>
      <w:divsChild>
        <w:div w:id="263809973">
          <w:marLeft w:val="547"/>
          <w:marRight w:val="0"/>
          <w:marTop w:val="0"/>
          <w:marBottom w:val="0"/>
          <w:divBdr>
            <w:top w:val="none" w:sz="0" w:space="0" w:color="auto"/>
            <w:left w:val="none" w:sz="0" w:space="0" w:color="auto"/>
            <w:bottom w:val="none" w:sz="0" w:space="0" w:color="auto"/>
            <w:right w:val="none" w:sz="0" w:space="0" w:color="auto"/>
          </w:divBdr>
        </w:div>
        <w:div w:id="596600592">
          <w:marLeft w:val="1166"/>
          <w:marRight w:val="0"/>
          <w:marTop w:val="0"/>
          <w:marBottom w:val="0"/>
          <w:divBdr>
            <w:top w:val="none" w:sz="0" w:space="0" w:color="auto"/>
            <w:left w:val="none" w:sz="0" w:space="0" w:color="auto"/>
            <w:bottom w:val="none" w:sz="0" w:space="0" w:color="auto"/>
            <w:right w:val="none" w:sz="0" w:space="0" w:color="auto"/>
          </w:divBdr>
        </w:div>
        <w:div w:id="1920946738">
          <w:marLeft w:val="547"/>
          <w:marRight w:val="0"/>
          <w:marTop w:val="0"/>
          <w:marBottom w:val="0"/>
          <w:divBdr>
            <w:top w:val="none" w:sz="0" w:space="0" w:color="auto"/>
            <w:left w:val="none" w:sz="0" w:space="0" w:color="auto"/>
            <w:bottom w:val="none" w:sz="0" w:space="0" w:color="auto"/>
            <w:right w:val="none" w:sz="0" w:space="0" w:color="auto"/>
          </w:divBdr>
        </w:div>
        <w:div w:id="713622392">
          <w:marLeft w:val="1166"/>
          <w:marRight w:val="0"/>
          <w:marTop w:val="0"/>
          <w:marBottom w:val="0"/>
          <w:divBdr>
            <w:top w:val="none" w:sz="0" w:space="0" w:color="auto"/>
            <w:left w:val="none" w:sz="0" w:space="0" w:color="auto"/>
            <w:bottom w:val="none" w:sz="0" w:space="0" w:color="auto"/>
            <w:right w:val="none" w:sz="0" w:space="0" w:color="auto"/>
          </w:divBdr>
        </w:div>
        <w:div w:id="1539852178">
          <w:marLeft w:val="1166"/>
          <w:marRight w:val="0"/>
          <w:marTop w:val="0"/>
          <w:marBottom w:val="0"/>
          <w:divBdr>
            <w:top w:val="none" w:sz="0" w:space="0" w:color="auto"/>
            <w:left w:val="none" w:sz="0" w:space="0" w:color="auto"/>
            <w:bottom w:val="none" w:sz="0" w:space="0" w:color="auto"/>
            <w:right w:val="none" w:sz="0" w:space="0" w:color="auto"/>
          </w:divBdr>
        </w:div>
        <w:div w:id="2095324303">
          <w:marLeft w:val="547"/>
          <w:marRight w:val="0"/>
          <w:marTop w:val="0"/>
          <w:marBottom w:val="0"/>
          <w:divBdr>
            <w:top w:val="none" w:sz="0" w:space="0" w:color="auto"/>
            <w:left w:val="none" w:sz="0" w:space="0" w:color="auto"/>
            <w:bottom w:val="none" w:sz="0" w:space="0" w:color="auto"/>
            <w:right w:val="none" w:sz="0" w:space="0" w:color="auto"/>
          </w:divBdr>
        </w:div>
        <w:div w:id="464279754">
          <w:marLeft w:val="547"/>
          <w:marRight w:val="0"/>
          <w:marTop w:val="0"/>
          <w:marBottom w:val="0"/>
          <w:divBdr>
            <w:top w:val="none" w:sz="0" w:space="0" w:color="auto"/>
            <w:left w:val="none" w:sz="0" w:space="0" w:color="auto"/>
            <w:bottom w:val="none" w:sz="0" w:space="0" w:color="auto"/>
            <w:right w:val="none" w:sz="0" w:space="0" w:color="auto"/>
          </w:divBdr>
        </w:div>
      </w:divsChild>
    </w:div>
    <w:div w:id="1372075003">
      <w:bodyDiv w:val="1"/>
      <w:marLeft w:val="0"/>
      <w:marRight w:val="0"/>
      <w:marTop w:val="0"/>
      <w:marBottom w:val="0"/>
      <w:divBdr>
        <w:top w:val="none" w:sz="0" w:space="0" w:color="auto"/>
        <w:left w:val="none" w:sz="0" w:space="0" w:color="auto"/>
        <w:bottom w:val="none" w:sz="0" w:space="0" w:color="auto"/>
        <w:right w:val="none" w:sz="0" w:space="0" w:color="auto"/>
      </w:divBdr>
    </w:div>
    <w:div w:id="142129139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98754249">
      <w:bodyDiv w:val="1"/>
      <w:marLeft w:val="0"/>
      <w:marRight w:val="0"/>
      <w:marTop w:val="0"/>
      <w:marBottom w:val="0"/>
      <w:divBdr>
        <w:top w:val="none" w:sz="0" w:space="0" w:color="auto"/>
        <w:left w:val="none" w:sz="0" w:space="0" w:color="auto"/>
        <w:bottom w:val="none" w:sz="0" w:space="0" w:color="auto"/>
        <w:right w:val="none" w:sz="0" w:space="0" w:color="auto"/>
      </w:divBdr>
      <w:divsChild>
        <w:div w:id="39398830">
          <w:marLeft w:val="547"/>
          <w:marRight w:val="0"/>
          <w:marTop w:val="0"/>
          <w:marBottom w:val="0"/>
          <w:divBdr>
            <w:top w:val="none" w:sz="0" w:space="0" w:color="auto"/>
            <w:left w:val="none" w:sz="0" w:space="0" w:color="auto"/>
            <w:bottom w:val="none" w:sz="0" w:space="0" w:color="auto"/>
            <w:right w:val="none" w:sz="0" w:space="0" w:color="auto"/>
          </w:divBdr>
        </w:div>
        <w:div w:id="1492330563">
          <w:marLeft w:val="547"/>
          <w:marRight w:val="0"/>
          <w:marTop w:val="0"/>
          <w:marBottom w:val="0"/>
          <w:divBdr>
            <w:top w:val="none" w:sz="0" w:space="0" w:color="auto"/>
            <w:left w:val="none" w:sz="0" w:space="0" w:color="auto"/>
            <w:bottom w:val="none" w:sz="0" w:space="0" w:color="auto"/>
            <w:right w:val="none" w:sz="0" w:space="0" w:color="auto"/>
          </w:divBdr>
        </w:div>
        <w:div w:id="1425760267">
          <w:marLeft w:val="547"/>
          <w:marRight w:val="0"/>
          <w:marTop w:val="0"/>
          <w:marBottom w:val="0"/>
          <w:divBdr>
            <w:top w:val="none" w:sz="0" w:space="0" w:color="auto"/>
            <w:left w:val="none" w:sz="0" w:space="0" w:color="auto"/>
            <w:bottom w:val="none" w:sz="0" w:space="0" w:color="auto"/>
            <w:right w:val="none" w:sz="0" w:space="0" w:color="auto"/>
          </w:divBdr>
        </w:div>
        <w:div w:id="2049721613">
          <w:marLeft w:val="547"/>
          <w:marRight w:val="0"/>
          <w:marTop w:val="0"/>
          <w:marBottom w:val="0"/>
          <w:divBdr>
            <w:top w:val="none" w:sz="0" w:space="0" w:color="auto"/>
            <w:left w:val="none" w:sz="0" w:space="0" w:color="auto"/>
            <w:bottom w:val="none" w:sz="0" w:space="0" w:color="auto"/>
            <w:right w:val="none" w:sz="0" w:space="0" w:color="auto"/>
          </w:divBdr>
        </w:div>
        <w:div w:id="6493603">
          <w:marLeft w:val="547"/>
          <w:marRight w:val="0"/>
          <w:marTop w:val="0"/>
          <w:marBottom w:val="0"/>
          <w:divBdr>
            <w:top w:val="none" w:sz="0" w:space="0" w:color="auto"/>
            <w:left w:val="none" w:sz="0" w:space="0" w:color="auto"/>
            <w:bottom w:val="none" w:sz="0" w:space="0" w:color="auto"/>
            <w:right w:val="none" w:sz="0" w:space="0" w:color="auto"/>
          </w:divBdr>
        </w:div>
        <w:div w:id="1312977493">
          <w:marLeft w:val="907"/>
          <w:marRight w:val="0"/>
          <w:marTop w:val="0"/>
          <w:marBottom w:val="0"/>
          <w:divBdr>
            <w:top w:val="none" w:sz="0" w:space="0" w:color="auto"/>
            <w:left w:val="none" w:sz="0" w:space="0" w:color="auto"/>
            <w:bottom w:val="none" w:sz="0" w:space="0" w:color="auto"/>
            <w:right w:val="none" w:sz="0" w:space="0" w:color="auto"/>
          </w:divBdr>
        </w:div>
        <w:div w:id="232664938">
          <w:marLeft w:val="547"/>
          <w:marRight w:val="0"/>
          <w:marTop w:val="0"/>
          <w:marBottom w:val="0"/>
          <w:divBdr>
            <w:top w:val="none" w:sz="0" w:space="0" w:color="auto"/>
            <w:left w:val="none" w:sz="0" w:space="0" w:color="auto"/>
            <w:bottom w:val="none" w:sz="0" w:space="0" w:color="auto"/>
            <w:right w:val="none" w:sz="0" w:space="0" w:color="auto"/>
          </w:divBdr>
        </w:div>
        <w:div w:id="26375333">
          <w:marLeft w:val="547"/>
          <w:marRight w:val="0"/>
          <w:marTop w:val="0"/>
          <w:marBottom w:val="0"/>
          <w:divBdr>
            <w:top w:val="none" w:sz="0" w:space="0" w:color="auto"/>
            <w:left w:val="none" w:sz="0" w:space="0" w:color="auto"/>
            <w:bottom w:val="none" w:sz="0" w:space="0" w:color="auto"/>
            <w:right w:val="none" w:sz="0" w:space="0" w:color="auto"/>
          </w:divBdr>
        </w:div>
        <w:div w:id="1284581371">
          <w:marLeft w:val="547"/>
          <w:marRight w:val="0"/>
          <w:marTop w:val="0"/>
          <w:marBottom w:val="0"/>
          <w:divBdr>
            <w:top w:val="none" w:sz="0" w:space="0" w:color="auto"/>
            <w:left w:val="none" w:sz="0" w:space="0" w:color="auto"/>
            <w:bottom w:val="none" w:sz="0" w:space="0" w:color="auto"/>
            <w:right w:val="none" w:sz="0" w:space="0" w:color="auto"/>
          </w:divBdr>
        </w:div>
      </w:divsChild>
    </w:div>
    <w:div w:id="1608849397">
      <w:bodyDiv w:val="1"/>
      <w:marLeft w:val="0"/>
      <w:marRight w:val="0"/>
      <w:marTop w:val="0"/>
      <w:marBottom w:val="0"/>
      <w:divBdr>
        <w:top w:val="none" w:sz="0" w:space="0" w:color="auto"/>
        <w:left w:val="none" w:sz="0" w:space="0" w:color="auto"/>
        <w:bottom w:val="none" w:sz="0" w:space="0" w:color="auto"/>
        <w:right w:val="none" w:sz="0" w:space="0" w:color="auto"/>
      </w:divBdr>
      <w:divsChild>
        <w:div w:id="1046955652">
          <w:marLeft w:val="547"/>
          <w:marRight w:val="0"/>
          <w:marTop w:val="0"/>
          <w:marBottom w:val="0"/>
          <w:divBdr>
            <w:top w:val="none" w:sz="0" w:space="0" w:color="auto"/>
            <w:left w:val="none" w:sz="0" w:space="0" w:color="auto"/>
            <w:bottom w:val="none" w:sz="0" w:space="0" w:color="auto"/>
            <w:right w:val="none" w:sz="0" w:space="0" w:color="auto"/>
          </w:divBdr>
        </w:div>
        <w:div w:id="1007362568">
          <w:marLeft w:val="1166"/>
          <w:marRight w:val="0"/>
          <w:marTop w:val="0"/>
          <w:marBottom w:val="0"/>
          <w:divBdr>
            <w:top w:val="none" w:sz="0" w:space="0" w:color="auto"/>
            <w:left w:val="none" w:sz="0" w:space="0" w:color="auto"/>
            <w:bottom w:val="none" w:sz="0" w:space="0" w:color="auto"/>
            <w:right w:val="none" w:sz="0" w:space="0" w:color="auto"/>
          </w:divBdr>
        </w:div>
        <w:div w:id="1890023151">
          <w:marLeft w:val="1800"/>
          <w:marRight w:val="0"/>
          <w:marTop w:val="0"/>
          <w:marBottom w:val="0"/>
          <w:divBdr>
            <w:top w:val="none" w:sz="0" w:space="0" w:color="auto"/>
            <w:left w:val="none" w:sz="0" w:space="0" w:color="auto"/>
            <w:bottom w:val="none" w:sz="0" w:space="0" w:color="auto"/>
            <w:right w:val="none" w:sz="0" w:space="0" w:color="auto"/>
          </w:divBdr>
        </w:div>
        <w:div w:id="267005945">
          <w:marLeft w:val="1166"/>
          <w:marRight w:val="0"/>
          <w:marTop w:val="0"/>
          <w:marBottom w:val="0"/>
          <w:divBdr>
            <w:top w:val="none" w:sz="0" w:space="0" w:color="auto"/>
            <w:left w:val="none" w:sz="0" w:space="0" w:color="auto"/>
            <w:bottom w:val="none" w:sz="0" w:space="0" w:color="auto"/>
            <w:right w:val="none" w:sz="0" w:space="0" w:color="auto"/>
          </w:divBdr>
        </w:div>
        <w:div w:id="985939089">
          <w:marLeft w:val="1166"/>
          <w:marRight w:val="0"/>
          <w:marTop w:val="0"/>
          <w:marBottom w:val="0"/>
          <w:divBdr>
            <w:top w:val="none" w:sz="0" w:space="0" w:color="auto"/>
            <w:left w:val="none" w:sz="0" w:space="0" w:color="auto"/>
            <w:bottom w:val="none" w:sz="0" w:space="0" w:color="auto"/>
            <w:right w:val="none" w:sz="0" w:space="0" w:color="auto"/>
          </w:divBdr>
        </w:div>
        <w:div w:id="861284721">
          <w:marLeft w:val="547"/>
          <w:marRight w:val="0"/>
          <w:marTop w:val="0"/>
          <w:marBottom w:val="0"/>
          <w:divBdr>
            <w:top w:val="none" w:sz="0" w:space="0" w:color="auto"/>
            <w:left w:val="none" w:sz="0" w:space="0" w:color="auto"/>
            <w:bottom w:val="none" w:sz="0" w:space="0" w:color="auto"/>
            <w:right w:val="none" w:sz="0" w:space="0" w:color="auto"/>
          </w:divBdr>
        </w:div>
      </w:divsChild>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80039000">
      <w:bodyDiv w:val="1"/>
      <w:marLeft w:val="0"/>
      <w:marRight w:val="0"/>
      <w:marTop w:val="0"/>
      <w:marBottom w:val="0"/>
      <w:divBdr>
        <w:top w:val="none" w:sz="0" w:space="0" w:color="auto"/>
        <w:left w:val="none" w:sz="0" w:space="0" w:color="auto"/>
        <w:bottom w:val="none" w:sz="0" w:space="0" w:color="auto"/>
        <w:right w:val="none" w:sz="0" w:space="0" w:color="auto"/>
      </w:divBdr>
    </w:div>
    <w:div w:id="1684163567">
      <w:bodyDiv w:val="1"/>
      <w:marLeft w:val="0"/>
      <w:marRight w:val="0"/>
      <w:marTop w:val="0"/>
      <w:marBottom w:val="0"/>
      <w:divBdr>
        <w:top w:val="none" w:sz="0" w:space="0" w:color="auto"/>
        <w:left w:val="none" w:sz="0" w:space="0" w:color="auto"/>
        <w:bottom w:val="none" w:sz="0" w:space="0" w:color="auto"/>
        <w:right w:val="none" w:sz="0" w:space="0" w:color="auto"/>
      </w:divBdr>
      <w:divsChild>
        <w:div w:id="966275582">
          <w:marLeft w:val="1166"/>
          <w:marRight w:val="0"/>
          <w:marTop w:val="0"/>
          <w:marBottom w:val="120"/>
          <w:divBdr>
            <w:top w:val="none" w:sz="0" w:space="0" w:color="auto"/>
            <w:left w:val="none" w:sz="0" w:space="0" w:color="auto"/>
            <w:bottom w:val="none" w:sz="0" w:space="0" w:color="auto"/>
            <w:right w:val="none" w:sz="0" w:space="0" w:color="auto"/>
          </w:divBdr>
        </w:div>
        <w:div w:id="1728142438">
          <w:marLeft w:val="1166"/>
          <w:marRight w:val="0"/>
          <w:marTop w:val="0"/>
          <w:marBottom w:val="120"/>
          <w:divBdr>
            <w:top w:val="none" w:sz="0" w:space="0" w:color="auto"/>
            <w:left w:val="none" w:sz="0" w:space="0" w:color="auto"/>
            <w:bottom w:val="none" w:sz="0" w:space="0" w:color="auto"/>
            <w:right w:val="none" w:sz="0" w:space="0" w:color="auto"/>
          </w:divBdr>
        </w:div>
        <w:div w:id="1513564072">
          <w:marLeft w:val="1166"/>
          <w:marRight w:val="0"/>
          <w:marTop w:val="0"/>
          <w:marBottom w:val="120"/>
          <w:divBdr>
            <w:top w:val="none" w:sz="0" w:space="0" w:color="auto"/>
            <w:left w:val="none" w:sz="0" w:space="0" w:color="auto"/>
            <w:bottom w:val="none" w:sz="0" w:space="0" w:color="auto"/>
            <w:right w:val="none" w:sz="0" w:space="0" w:color="auto"/>
          </w:divBdr>
        </w:div>
      </w:divsChild>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19696898">
      <w:bodyDiv w:val="1"/>
      <w:marLeft w:val="0"/>
      <w:marRight w:val="0"/>
      <w:marTop w:val="0"/>
      <w:marBottom w:val="0"/>
      <w:divBdr>
        <w:top w:val="none" w:sz="0" w:space="0" w:color="auto"/>
        <w:left w:val="none" w:sz="0" w:space="0" w:color="auto"/>
        <w:bottom w:val="none" w:sz="0" w:space="0" w:color="auto"/>
        <w:right w:val="none" w:sz="0" w:space="0" w:color="auto"/>
      </w:divBdr>
    </w:div>
    <w:div w:id="1736246933">
      <w:bodyDiv w:val="1"/>
      <w:marLeft w:val="0"/>
      <w:marRight w:val="0"/>
      <w:marTop w:val="0"/>
      <w:marBottom w:val="0"/>
      <w:divBdr>
        <w:top w:val="none" w:sz="0" w:space="0" w:color="auto"/>
        <w:left w:val="none" w:sz="0" w:space="0" w:color="auto"/>
        <w:bottom w:val="none" w:sz="0" w:space="0" w:color="auto"/>
        <w:right w:val="none" w:sz="0" w:space="0" w:color="auto"/>
      </w:divBdr>
      <w:divsChild>
        <w:div w:id="1918512270">
          <w:marLeft w:val="547"/>
          <w:marRight w:val="0"/>
          <w:marTop w:val="0"/>
          <w:marBottom w:val="0"/>
          <w:divBdr>
            <w:top w:val="none" w:sz="0" w:space="0" w:color="auto"/>
            <w:left w:val="none" w:sz="0" w:space="0" w:color="auto"/>
            <w:bottom w:val="none" w:sz="0" w:space="0" w:color="auto"/>
            <w:right w:val="none" w:sz="0" w:space="0" w:color="auto"/>
          </w:divBdr>
        </w:div>
        <w:div w:id="539587342">
          <w:marLeft w:val="1166"/>
          <w:marRight w:val="0"/>
          <w:marTop w:val="0"/>
          <w:marBottom w:val="0"/>
          <w:divBdr>
            <w:top w:val="none" w:sz="0" w:space="0" w:color="auto"/>
            <w:left w:val="none" w:sz="0" w:space="0" w:color="auto"/>
            <w:bottom w:val="none" w:sz="0" w:space="0" w:color="auto"/>
            <w:right w:val="none" w:sz="0" w:space="0" w:color="auto"/>
          </w:divBdr>
        </w:div>
        <w:div w:id="785151617">
          <w:marLeft w:val="1166"/>
          <w:marRight w:val="0"/>
          <w:marTop w:val="0"/>
          <w:marBottom w:val="0"/>
          <w:divBdr>
            <w:top w:val="none" w:sz="0" w:space="0" w:color="auto"/>
            <w:left w:val="none" w:sz="0" w:space="0" w:color="auto"/>
            <w:bottom w:val="none" w:sz="0" w:space="0" w:color="auto"/>
            <w:right w:val="none" w:sz="0" w:space="0" w:color="auto"/>
          </w:divBdr>
        </w:div>
        <w:div w:id="804814080">
          <w:marLeft w:val="547"/>
          <w:marRight w:val="0"/>
          <w:marTop w:val="0"/>
          <w:marBottom w:val="0"/>
          <w:divBdr>
            <w:top w:val="none" w:sz="0" w:space="0" w:color="auto"/>
            <w:left w:val="none" w:sz="0" w:space="0" w:color="auto"/>
            <w:bottom w:val="none" w:sz="0" w:space="0" w:color="auto"/>
            <w:right w:val="none" w:sz="0" w:space="0" w:color="auto"/>
          </w:divBdr>
        </w:div>
        <w:div w:id="254829312">
          <w:marLeft w:val="547"/>
          <w:marRight w:val="0"/>
          <w:marTop w:val="0"/>
          <w:marBottom w:val="0"/>
          <w:divBdr>
            <w:top w:val="none" w:sz="0" w:space="0" w:color="auto"/>
            <w:left w:val="none" w:sz="0" w:space="0" w:color="auto"/>
            <w:bottom w:val="none" w:sz="0" w:space="0" w:color="auto"/>
            <w:right w:val="none" w:sz="0" w:space="0" w:color="auto"/>
          </w:divBdr>
        </w:div>
        <w:div w:id="220361431">
          <w:marLeft w:val="547"/>
          <w:marRight w:val="0"/>
          <w:marTop w:val="0"/>
          <w:marBottom w:val="0"/>
          <w:divBdr>
            <w:top w:val="none" w:sz="0" w:space="0" w:color="auto"/>
            <w:left w:val="none" w:sz="0" w:space="0" w:color="auto"/>
            <w:bottom w:val="none" w:sz="0" w:space="0" w:color="auto"/>
            <w:right w:val="none" w:sz="0" w:space="0" w:color="auto"/>
          </w:divBdr>
        </w:div>
        <w:div w:id="2047169124">
          <w:marLeft w:val="547"/>
          <w:marRight w:val="0"/>
          <w:marTop w:val="0"/>
          <w:marBottom w:val="0"/>
          <w:divBdr>
            <w:top w:val="none" w:sz="0" w:space="0" w:color="auto"/>
            <w:left w:val="none" w:sz="0" w:space="0" w:color="auto"/>
            <w:bottom w:val="none" w:sz="0" w:space="0" w:color="auto"/>
            <w:right w:val="none" w:sz="0" w:space="0" w:color="auto"/>
          </w:divBdr>
        </w:div>
      </w:divsChild>
    </w:div>
    <w:div w:id="1835339833">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67212751">
      <w:bodyDiv w:val="1"/>
      <w:marLeft w:val="0"/>
      <w:marRight w:val="0"/>
      <w:marTop w:val="0"/>
      <w:marBottom w:val="0"/>
      <w:divBdr>
        <w:top w:val="none" w:sz="0" w:space="0" w:color="auto"/>
        <w:left w:val="none" w:sz="0" w:space="0" w:color="auto"/>
        <w:bottom w:val="none" w:sz="0" w:space="0" w:color="auto"/>
        <w:right w:val="none" w:sz="0" w:space="0" w:color="auto"/>
      </w:divBdr>
      <w:divsChild>
        <w:div w:id="248271233">
          <w:marLeft w:val="1282"/>
          <w:marRight w:val="0"/>
          <w:marTop w:val="0"/>
          <w:marBottom w:val="120"/>
          <w:divBdr>
            <w:top w:val="none" w:sz="0" w:space="0" w:color="auto"/>
            <w:left w:val="none" w:sz="0" w:space="0" w:color="auto"/>
            <w:bottom w:val="none" w:sz="0" w:space="0" w:color="auto"/>
            <w:right w:val="none" w:sz="0" w:space="0" w:color="auto"/>
          </w:divBdr>
        </w:div>
        <w:div w:id="880246373">
          <w:marLeft w:val="1282"/>
          <w:marRight w:val="0"/>
          <w:marTop w:val="0"/>
          <w:marBottom w:val="120"/>
          <w:divBdr>
            <w:top w:val="none" w:sz="0" w:space="0" w:color="auto"/>
            <w:left w:val="none" w:sz="0" w:space="0" w:color="auto"/>
            <w:bottom w:val="none" w:sz="0" w:space="0" w:color="auto"/>
            <w:right w:val="none" w:sz="0" w:space="0" w:color="auto"/>
          </w:divBdr>
        </w:div>
        <w:div w:id="354119868">
          <w:marLeft w:val="1282"/>
          <w:marRight w:val="0"/>
          <w:marTop w:val="0"/>
          <w:marBottom w:val="120"/>
          <w:divBdr>
            <w:top w:val="none" w:sz="0" w:space="0" w:color="auto"/>
            <w:left w:val="none" w:sz="0" w:space="0" w:color="auto"/>
            <w:bottom w:val="none" w:sz="0" w:space="0" w:color="auto"/>
            <w:right w:val="none" w:sz="0" w:space="0" w:color="auto"/>
          </w:divBdr>
        </w:div>
        <w:div w:id="90593072">
          <w:marLeft w:val="1282"/>
          <w:marRight w:val="0"/>
          <w:marTop w:val="0"/>
          <w:marBottom w:val="120"/>
          <w:divBdr>
            <w:top w:val="none" w:sz="0" w:space="0" w:color="auto"/>
            <w:left w:val="none" w:sz="0" w:space="0" w:color="auto"/>
            <w:bottom w:val="none" w:sz="0" w:space="0" w:color="auto"/>
            <w:right w:val="none" w:sz="0" w:space="0" w:color="auto"/>
          </w:divBdr>
        </w:div>
      </w:divsChild>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896623125">
      <w:bodyDiv w:val="1"/>
      <w:marLeft w:val="0"/>
      <w:marRight w:val="0"/>
      <w:marTop w:val="0"/>
      <w:marBottom w:val="0"/>
      <w:divBdr>
        <w:top w:val="none" w:sz="0" w:space="0" w:color="auto"/>
        <w:left w:val="none" w:sz="0" w:space="0" w:color="auto"/>
        <w:bottom w:val="none" w:sz="0" w:space="0" w:color="auto"/>
        <w:right w:val="none" w:sz="0" w:space="0" w:color="auto"/>
      </w:divBdr>
      <w:divsChild>
        <w:div w:id="1157649297">
          <w:marLeft w:val="547"/>
          <w:marRight w:val="0"/>
          <w:marTop w:val="0"/>
          <w:marBottom w:val="0"/>
          <w:divBdr>
            <w:top w:val="none" w:sz="0" w:space="0" w:color="auto"/>
            <w:left w:val="none" w:sz="0" w:space="0" w:color="auto"/>
            <w:bottom w:val="none" w:sz="0" w:space="0" w:color="auto"/>
            <w:right w:val="none" w:sz="0" w:space="0" w:color="auto"/>
          </w:divBdr>
        </w:div>
        <w:div w:id="1251894703">
          <w:marLeft w:val="547"/>
          <w:marRight w:val="0"/>
          <w:marTop w:val="0"/>
          <w:marBottom w:val="0"/>
          <w:divBdr>
            <w:top w:val="none" w:sz="0" w:space="0" w:color="auto"/>
            <w:left w:val="none" w:sz="0" w:space="0" w:color="auto"/>
            <w:bottom w:val="none" w:sz="0" w:space="0" w:color="auto"/>
            <w:right w:val="none" w:sz="0" w:space="0" w:color="auto"/>
          </w:divBdr>
        </w:div>
        <w:div w:id="352390611">
          <w:marLeft w:val="360"/>
          <w:marRight w:val="0"/>
          <w:marTop w:val="0"/>
          <w:marBottom w:val="0"/>
          <w:divBdr>
            <w:top w:val="none" w:sz="0" w:space="0" w:color="auto"/>
            <w:left w:val="none" w:sz="0" w:space="0" w:color="auto"/>
            <w:bottom w:val="none" w:sz="0" w:space="0" w:color="auto"/>
            <w:right w:val="none" w:sz="0" w:space="0" w:color="auto"/>
          </w:divBdr>
        </w:div>
      </w:divsChild>
    </w:div>
    <w:div w:id="1919170059">
      <w:bodyDiv w:val="1"/>
      <w:marLeft w:val="0"/>
      <w:marRight w:val="0"/>
      <w:marTop w:val="0"/>
      <w:marBottom w:val="0"/>
      <w:divBdr>
        <w:top w:val="none" w:sz="0" w:space="0" w:color="auto"/>
        <w:left w:val="none" w:sz="0" w:space="0" w:color="auto"/>
        <w:bottom w:val="none" w:sz="0" w:space="0" w:color="auto"/>
        <w:right w:val="none" w:sz="0" w:space="0" w:color="auto"/>
      </w:divBdr>
    </w:div>
    <w:div w:id="1947078357">
      <w:bodyDiv w:val="1"/>
      <w:marLeft w:val="0"/>
      <w:marRight w:val="0"/>
      <w:marTop w:val="0"/>
      <w:marBottom w:val="0"/>
      <w:divBdr>
        <w:top w:val="none" w:sz="0" w:space="0" w:color="auto"/>
        <w:left w:val="none" w:sz="0" w:space="0" w:color="auto"/>
        <w:bottom w:val="none" w:sz="0" w:space="0" w:color="auto"/>
        <w:right w:val="none" w:sz="0" w:space="0" w:color="auto"/>
      </w:divBdr>
    </w:div>
    <w:div w:id="196492163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72664622">
      <w:bodyDiv w:val="1"/>
      <w:marLeft w:val="0"/>
      <w:marRight w:val="0"/>
      <w:marTop w:val="0"/>
      <w:marBottom w:val="0"/>
      <w:divBdr>
        <w:top w:val="none" w:sz="0" w:space="0" w:color="auto"/>
        <w:left w:val="none" w:sz="0" w:space="0" w:color="auto"/>
        <w:bottom w:val="none" w:sz="0" w:space="0" w:color="auto"/>
        <w:right w:val="none" w:sz="0" w:space="0" w:color="auto"/>
      </w:divBdr>
      <w:divsChild>
        <w:div w:id="358431387">
          <w:marLeft w:val="806"/>
          <w:marRight w:val="0"/>
          <w:marTop w:val="0"/>
          <w:marBottom w:val="120"/>
          <w:divBdr>
            <w:top w:val="none" w:sz="0" w:space="0" w:color="auto"/>
            <w:left w:val="none" w:sz="0" w:space="0" w:color="auto"/>
            <w:bottom w:val="none" w:sz="0" w:space="0" w:color="auto"/>
            <w:right w:val="none" w:sz="0" w:space="0" w:color="auto"/>
          </w:divBdr>
        </w:div>
      </w:divsChild>
    </w:div>
    <w:div w:id="2001808773">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39038568">
      <w:bodyDiv w:val="1"/>
      <w:marLeft w:val="0"/>
      <w:marRight w:val="0"/>
      <w:marTop w:val="0"/>
      <w:marBottom w:val="0"/>
      <w:divBdr>
        <w:top w:val="none" w:sz="0" w:space="0" w:color="auto"/>
        <w:left w:val="none" w:sz="0" w:space="0" w:color="auto"/>
        <w:bottom w:val="none" w:sz="0" w:space="0" w:color="auto"/>
        <w:right w:val="none" w:sz="0" w:space="0" w:color="auto"/>
      </w:divBdr>
    </w:div>
    <w:div w:id="209420652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11048648">
      <w:bodyDiv w:val="1"/>
      <w:marLeft w:val="0"/>
      <w:marRight w:val="0"/>
      <w:marTop w:val="0"/>
      <w:marBottom w:val="0"/>
      <w:divBdr>
        <w:top w:val="none" w:sz="0" w:space="0" w:color="auto"/>
        <w:left w:val="none" w:sz="0" w:space="0" w:color="auto"/>
        <w:bottom w:val="none" w:sz="0" w:space="0" w:color="auto"/>
        <w:right w:val="none" w:sz="0" w:space="0" w:color="auto"/>
      </w:divBdr>
    </w:div>
    <w:div w:id="21380637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5AIRPNAIUNRU-1830940522-4368</_dlc_DocId>
    <_dlc_DocIdUrl xmlns="71c5aaf6-e6ce-465b-b873-5148d2a4c105">
      <Url>https://nokia.sharepoint.com/sites/c5g/5gradio/_layouts/15/DocIdRedir.aspx?ID=5AIRPNAIUNRU-1830940522-4368</Url>
      <Description>5AIRPNAIUNRU-1830940522-4368</Description>
    </_dlc_DocIdUrl>
    <Information xmlns="3b34c8f0-1ef5-4d1e-bb66-517ce7fe7356" xsi:nil="true"/>
    <Associated_x0020_Task xmlns="3b34c8f0-1ef5-4d1e-bb66-517ce7fe7356"/>
    <HideFromDelve xmlns="71c5aaf6-e6ce-465b-b873-5148d2a4c105">false</HideFromDelv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1" ma:contentTypeDescription="Create a new document." ma:contentTypeScope="" ma:versionID="069610390a5919eac3980469db94a8b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9D201-B2C2-4DC8-A98A-70B6E586961D}">
  <ds:schemaRefs>
    <ds:schemaRef ds:uri="Microsoft.SharePoint.Taxonomy.ContentTypeSync"/>
  </ds:schemaRefs>
</ds:datastoreItem>
</file>

<file path=customXml/itemProps2.xml><?xml version="1.0" encoding="utf-8"?>
<ds:datastoreItem xmlns:ds="http://schemas.openxmlformats.org/officeDocument/2006/customXml" ds:itemID="{75AE46C1-5939-424B-9C3C-66BF1C4F6A82}">
  <ds:schemaRefs>
    <ds:schemaRef ds:uri="71c5aaf6-e6ce-465b-b873-5148d2a4c105"/>
    <ds:schemaRef ds:uri="http://schemas.microsoft.com/office/2006/metadata/properties"/>
    <ds:schemaRef ds:uri="ebabf6ce-2443-438c-9946-ecc878e7654a"/>
    <ds:schemaRef ds:uri="http://www.w3.org/XML/1998/namespace"/>
    <ds:schemaRef ds:uri="http://schemas.openxmlformats.org/package/2006/metadata/core-properties"/>
    <ds:schemaRef ds:uri="http://schemas.microsoft.com/office/2006/documentManagement/types"/>
    <ds:schemaRef ds:uri="http://purl.org/dc/terms/"/>
    <ds:schemaRef ds:uri="http://purl.org/dc/elements/1.1/"/>
    <ds:schemaRef ds:uri="http://schemas.microsoft.com/office/infopath/2007/PartnerControls"/>
    <ds:schemaRef ds:uri="95d2e41d-1f11-4347-bb1c-11d6a32975dd"/>
    <ds:schemaRef ds:uri="3b34c8f0-1ef5-4d1e-bb66-517ce7fe7356"/>
    <ds:schemaRef ds:uri="http://purl.org/dc/dcmitype/"/>
  </ds:schemaRefs>
</ds:datastoreItem>
</file>

<file path=customXml/itemProps3.xml><?xml version="1.0" encoding="utf-8"?>
<ds:datastoreItem xmlns:ds="http://schemas.openxmlformats.org/officeDocument/2006/customXml" ds:itemID="{B12B140B-D1BD-41DB-98DC-1AC0DF379F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5.xml><?xml version="1.0" encoding="utf-8"?>
<ds:datastoreItem xmlns:ds="http://schemas.openxmlformats.org/officeDocument/2006/customXml" ds:itemID="{667BE386-894B-4EAC-BDBB-8B2CA5FEB690}">
  <ds:schemaRefs>
    <ds:schemaRef ds:uri="http://schemas.microsoft.com/sharepoint/events"/>
  </ds:schemaRefs>
</ds:datastoreItem>
</file>

<file path=customXml/itemProps6.xml><?xml version="1.0" encoding="utf-8"?>
<ds:datastoreItem xmlns:ds="http://schemas.openxmlformats.org/officeDocument/2006/customXml" ds:itemID="{366702F2-2F79-4903-83F9-5F67100FBF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0</TotalTime>
  <Pages>5</Pages>
  <Words>2288</Words>
  <Characters>13730</Characters>
  <Application>Microsoft Office Word</Application>
  <DocSecurity>0</DocSecurity>
  <Lines>114</Lines>
  <Paragraphs>31</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15987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cp:lastModifiedBy>Golebiowski, Bartlomiej (Nokia - PL/Wroclaw)</cp:lastModifiedBy>
  <cp:revision>2</cp:revision>
  <cp:lastPrinted>2016-06-20T11:35:00Z</cp:lastPrinted>
  <dcterms:created xsi:type="dcterms:W3CDTF">2018-11-02T20:58:00Z</dcterms:created>
  <dcterms:modified xsi:type="dcterms:W3CDTF">2018-11-02T20:58:00Z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ContentTypeId">
    <vt:lpwstr>0x010100F72F5225BF40E546BD513D0BB4BDDD33</vt:lpwstr>
  </property>
  <property fmtid="{D5CDD505-2E9C-101B-9397-08002B2CF9AE}" pid="5" name="TaxKeyword">
    <vt:lpwstr/>
  </property>
  <property fmtid="{D5CDD505-2E9C-101B-9397-08002B2CF9AE}" pid="6" name="AverageRating">
    <vt:lpwstr/>
  </property>
  <property fmtid="{D5CDD505-2E9C-101B-9397-08002B2CF9AE}" pid="7" name="_dlc_DocIdItemGuid">
    <vt:lpwstr>9ff37c68-cccd-4b55-a52f-bac6c85e59e8</vt:lpwstr>
  </property>
  <property fmtid="{D5CDD505-2E9C-101B-9397-08002B2CF9AE}" pid="8" name="MSIP_Label_b1aa2129-79ec-42c0-bfac-e5b7a0374572_Enabled">
    <vt:lpwstr>False</vt:lpwstr>
  </property>
  <property fmtid="{D5CDD505-2E9C-101B-9397-08002B2CF9AE}" pid="9" name="MSIP_Label_b1aa2129-79ec-42c0-bfac-e5b7a0374572_SiteId">
    <vt:lpwstr>5d471751-9675-428d-917b-70f44f9630b0</vt:lpwstr>
  </property>
  <property fmtid="{D5CDD505-2E9C-101B-9397-08002B2CF9AE}" pid="10" name="MSIP_Label_b1aa2129-79ec-42c0-bfac-e5b7a0374572_Owner">
    <vt:lpwstr>timo.lunttila@nokia.com</vt:lpwstr>
  </property>
  <property fmtid="{D5CDD505-2E9C-101B-9397-08002B2CF9AE}" pid="11" name="MSIP_Label_b1aa2129-79ec-42c0-bfac-e5b7a0374572_SetDate">
    <vt:lpwstr>2018-04-03T15:48:19.8993400+03:00</vt:lpwstr>
  </property>
  <property fmtid="{D5CDD505-2E9C-101B-9397-08002B2CF9AE}" pid="12" name="MSIP_Label_b1aa2129-79ec-42c0-bfac-e5b7a0374572_Name">
    <vt:lpwstr>Public</vt:lpwstr>
  </property>
  <property fmtid="{D5CDD505-2E9C-101B-9397-08002B2CF9AE}" pid="13" name="MSIP_Label_b1aa2129-79ec-42c0-bfac-e5b7a0374572_Application">
    <vt:lpwstr>Microsoft Azure Information Protection</vt:lpwstr>
  </property>
  <property fmtid="{D5CDD505-2E9C-101B-9397-08002B2CF9AE}" pid="14" name="MSIP_Label_b1aa2129-79ec-42c0-bfac-e5b7a0374572_Extended_MSFT_Method">
    <vt:lpwstr>Manual</vt:lpwstr>
  </property>
  <property fmtid="{D5CDD505-2E9C-101B-9397-08002B2CF9AE}" pid="15" name="Sensitivity">
    <vt:lpwstr/>
  </property>
</Properties>
</file>